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AE27F2">
        <w:rPr>
          <w:rFonts w:asciiTheme="majorBidi" w:hAnsiTheme="majorBidi" w:cstheme="majorBidi"/>
          <w:b/>
          <w:bCs/>
        </w:rPr>
        <w:t>Infortec</w:t>
      </w:r>
      <w:proofErr w:type="spellEnd"/>
      <w:r w:rsidRPr="00AE27F2">
        <w:rPr>
          <w:rFonts w:asciiTheme="majorBidi" w:hAnsiTheme="majorBidi" w:cstheme="majorBidi"/>
          <w:b/>
          <w:bCs/>
        </w:rPr>
        <w:t xml:space="preserve"> International Technologies 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AE27F2">
        <w:rPr>
          <w:rFonts w:asciiTheme="majorBidi" w:hAnsiTheme="majorBidi" w:cstheme="majorBidi"/>
          <w:b/>
          <w:bCs/>
        </w:rPr>
        <w:t>Risk Management and Sustainability Policy</w:t>
      </w:r>
    </w:p>
    <w:bookmarkEnd w:id="0"/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37E9C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</w:t>
      </w:r>
      <w:r>
        <w:rPr>
          <w:rFonts w:asciiTheme="majorBidi" w:hAnsiTheme="majorBidi" w:cstheme="majorBidi"/>
        </w:rPr>
        <w:t>14</w:t>
      </w:r>
      <w:r w:rsidRPr="001E14C8">
        <w:rPr>
          <w:rFonts w:asciiTheme="majorBidi" w:hAnsiTheme="majorBidi" w:cstheme="majorBidi"/>
        </w:rPr>
        <w:t>/11/25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BB50B5" w:rsidRPr="00AE27F2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E27F2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E27F2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E27F2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E27F2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E27F2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BB50B5" w:rsidRPr="00AE27F2" w:rsidTr="00D55684"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BB50B5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1. Preamble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Higher education institutions operate in dynamic environments characterized by academic, operational, financial, technological, reputational, and environmental risks.</w:t>
      </w:r>
      <w:r w:rsidRPr="00AE27F2">
        <w:rPr>
          <w:rFonts w:asciiTheme="majorBidi" w:hAnsiTheme="majorBidi" w:cstheme="majorBidi"/>
        </w:rPr>
        <w:br/>
        <w:t>Effective risk management ensures institutional resilience, operational continuity, and sustainable development.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AE27F2">
        <w:rPr>
          <w:rFonts w:asciiTheme="majorBidi" w:hAnsiTheme="majorBidi" w:cstheme="majorBidi"/>
        </w:rPr>
        <w:t>Infortec</w:t>
      </w:r>
      <w:proofErr w:type="spellEnd"/>
      <w:r w:rsidRPr="00AE27F2">
        <w:rPr>
          <w:rFonts w:asciiTheme="majorBidi" w:hAnsiTheme="majorBidi" w:cstheme="majorBidi"/>
        </w:rPr>
        <w:t xml:space="preserve"> International Technologies (University Division) recognizes its responsibility to identify, assess, mitigate, and monitor risks, while integrating sustainability into all institutional functions in alignment with national priorities, global standards (ISO 31000; ISO 21001), and best practices.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2. Policy Statement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This policy provides a comprehensive framework for managing risks and promoting sustainability across all academic and administrative operations.</w:t>
      </w:r>
      <w:r w:rsidRPr="00AE27F2">
        <w:rPr>
          <w:rFonts w:asciiTheme="majorBidi" w:hAnsiTheme="majorBidi" w:cstheme="majorBidi"/>
        </w:rPr>
        <w:br/>
        <w:t>Risk management is a shared responsibility, embedded in planning, decision-making, quality assurance, and institutional culture.</w:t>
      </w:r>
      <w:r w:rsidRPr="00AE27F2">
        <w:rPr>
          <w:rFonts w:asciiTheme="majorBidi" w:hAnsiTheme="majorBidi" w:cstheme="majorBidi"/>
        </w:rPr>
        <w:br/>
        <w:t>Sustainability principles—environmental stewardship, financial prudence, social responsibility, and continuous improvement—guide long-term institutional success.</w:t>
      </w:r>
    </w:p>
    <w:p w:rsidR="00BB50B5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3. Objectives</w:t>
      </w:r>
    </w:p>
    <w:p w:rsidR="00BB50B5" w:rsidRPr="00AE27F2" w:rsidRDefault="00BB50B5" w:rsidP="00BB50B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lastRenderedPageBreak/>
        <w:t>To establish a structured risk management framework that identifies, evaluates, and mitigates institutional risks.</w:t>
      </w:r>
    </w:p>
    <w:p w:rsidR="00BB50B5" w:rsidRPr="00AE27F2" w:rsidRDefault="00BB50B5" w:rsidP="00BB50B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To embed sustainability principles into governance, operations, curriculum, and community engagement.</w:t>
      </w:r>
    </w:p>
    <w:p w:rsidR="00BB50B5" w:rsidRPr="00AE27F2" w:rsidRDefault="00BB50B5" w:rsidP="00BB50B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To ensure business continuity through proactive planning and crisis management.</w:t>
      </w:r>
    </w:p>
    <w:p w:rsidR="00BB50B5" w:rsidRPr="00AE27F2" w:rsidRDefault="00BB50B5" w:rsidP="00BB50B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To comply with national regulations, QAAC standards, and international best practices.</w:t>
      </w:r>
    </w:p>
    <w:p w:rsidR="00BB50B5" w:rsidRPr="00AE27F2" w:rsidRDefault="00BB50B5" w:rsidP="00BB50B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To protect institutional assets, reputation, stakeholders, and long-term viability.</w:t>
      </w:r>
    </w:p>
    <w:p w:rsidR="00BB50B5" w:rsidRPr="00AE27F2" w:rsidRDefault="00BB50B5" w:rsidP="00BB50B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To create a culture of risk awareness and sustainable decision-making among staff and students.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4. Scope and Applicability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This policy applies to:</w:t>
      </w:r>
    </w:p>
    <w:p w:rsidR="00BB50B5" w:rsidRPr="00AE27F2" w:rsidRDefault="00BB50B5" w:rsidP="00BB50B5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All faculties, departments, and administrative units;</w:t>
      </w:r>
    </w:p>
    <w:p w:rsidR="00BB50B5" w:rsidRPr="00AE27F2" w:rsidRDefault="00BB50B5" w:rsidP="00BB50B5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 xml:space="preserve">All academic </w:t>
      </w:r>
      <w:proofErr w:type="spellStart"/>
      <w:r w:rsidRPr="00AE27F2">
        <w:rPr>
          <w:rFonts w:asciiTheme="majorBidi" w:hAnsiTheme="majorBidi" w:cstheme="majorBidi"/>
        </w:rPr>
        <w:t>programmes</w:t>
      </w:r>
      <w:proofErr w:type="spellEnd"/>
      <w:r w:rsidRPr="00AE27F2">
        <w:rPr>
          <w:rFonts w:asciiTheme="majorBidi" w:hAnsiTheme="majorBidi" w:cstheme="majorBidi"/>
        </w:rPr>
        <w:t xml:space="preserve"> and support functions;</w:t>
      </w:r>
    </w:p>
    <w:p w:rsidR="00BB50B5" w:rsidRPr="00AE27F2" w:rsidRDefault="00BB50B5" w:rsidP="00BB50B5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All academic and non-academic staff, students, contractors, and partners;</w:t>
      </w:r>
    </w:p>
    <w:p w:rsidR="00BB50B5" w:rsidRPr="00AE27F2" w:rsidRDefault="00BB50B5" w:rsidP="00BB50B5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All operational areas including finance, ICT, HR, facilities, examinations, and student services;</w:t>
      </w:r>
    </w:p>
    <w:p w:rsidR="00BB50B5" w:rsidRPr="00AE27F2" w:rsidRDefault="00BB50B5" w:rsidP="00BB50B5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All sustainability projects, campus operations, and environmental initiatives.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5. Guiding Principles</w:t>
      </w:r>
    </w:p>
    <w:p w:rsidR="00BB50B5" w:rsidRPr="00AE27F2" w:rsidRDefault="00BB50B5" w:rsidP="00BB50B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Proactivity</w:t>
      </w:r>
      <w:r w:rsidRPr="00AE27F2">
        <w:rPr>
          <w:rFonts w:asciiTheme="majorBidi" w:hAnsiTheme="majorBidi" w:cstheme="majorBidi"/>
        </w:rPr>
        <w:t xml:space="preserve"> – Identifying risks before they occur.</w:t>
      </w:r>
    </w:p>
    <w:p w:rsidR="00BB50B5" w:rsidRPr="00AE27F2" w:rsidRDefault="00BB50B5" w:rsidP="00BB50B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Integration</w:t>
      </w:r>
      <w:r w:rsidRPr="00AE27F2">
        <w:rPr>
          <w:rFonts w:asciiTheme="majorBidi" w:hAnsiTheme="majorBidi" w:cstheme="majorBidi"/>
        </w:rPr>
        <w:t xml:space="preserve"> – Risk and sustainability embedded into planning, QA, and governance.</w:t>
      </w:r>
    </w:p>
    <w:p w:rsidR="00BB50B5" w:rsidRPr="00AE27F2" w:rsidRDefault="00BB50B5" w:rsidP="00BB50B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Accountability</w:t>
      </w:r>
      <w:r w:rsidRPr="00AE27F2">
        <w:rPr>
          <w:rFonts w:asciiTheme="majorBidi" w:hAnsiTheme="majorBidi" w:cstheme="majorBidi"/>
        </w:rPr>
        <w:t xml:space="preserve"> – Every unit responsible for managing risks within its scope.</w:t>
      </w:r>
    </w:p>
    <w:p w:rsidR="00BB50B5" w:rsidRPr="00AE27F2" w:rsidRDefault="00BB50B5" w:rsidP="00BB50B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Transparency</w:t>
      </w:r>
      <w:r w:rsidRPr="00AE27F2">
        <w:rPr>
          <w:rFonts w:asciiTheme="majorBidi" w:hAnsiTheme="majorBidi" w:cstheme="majorBidi"/>
        </w:rPr>
        <w:t xml:space="preserve"> – Clear documentation, reporting, and communication.</w:t>
      </w:r>
    </w:p>
    <w:p w:rsidR="00BB50B5" w:rsidRPr="00AE27F2" w:rsidRDefault="00BB50B5" w:rsidP="00BB50B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Evidence-Based Decision-Making</w:t>
      </w:r>
      <w:r w:rsidRPr="00AE27F2">
        <w:rPr>
          <w:rFonts w:asciiTheme="majorBidi" w:hAnsiTheme="majorBidi" w:cstheme="majorBidi"/>
        </w:rPr>
        <w:t xml:space="preserve"> – Using data and analysis to guide responses.</w:t>
      </w:r>
    </w:p>
    <w:p w:rsidR="00BB50B5" w:rsidRPr="00AE27F2" w:rsidRDefault="00BB50B5" w:rsidP="00BB50B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Sustainability</w:t>
      </w:r>
      <w:r w:rsidRPr="00AE27F2">
        <w:rPr>
          <w:rFonts w:asciiTheme="majorBidi" w:hAnsiTheme="majorBidi" w:cstheme="majorBidi"/>
        </w:rPr>
        <w:t xml:space="preserve"> – Balancing environmental, economic, and social considerations.</w:t>
      </w:r>
    </w:p>
    <w:p w:rsidR="00BB50B5" w:rsidRPr="00AE27F2" w:rsidRDefault="00BB50B5" w:rsidP="00BB50B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Compliance</w:t>
      </w:r>
      <w:r w:rsidRPr="00AE27F2">
        <w:rPr>
          <w:rFonts w:asciiTheme="majorBidi" w:hAnsiTheme="majorBidi" w:cstheme="majorBidi"/>
        </w:rPr>
        <w:t xml:space="preserve"> – Adherence to SLQF, QAAC, UGC, legal, and ISO standards.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6. Risk Management Framework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6.1 Risk Identification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Risks are identified across the following categories:</w:t>
      </w:r>
    </w:p>
    <w:p w:rsidR="00BB50B5" w:rsidRPr="00AE27F2" w:rsidRDefault="00BB50B5" w:rsidP="00BB50B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Academic Risks:</w:t>
      </w:r>
      <w:r w:rsidRPr="00AE27F2">
        <w:rPr>
          <w:rFonts w:asciiTheme="majorBidi" w:hAnsiTheme="majorBidi" w:cstheme="majorBidi"/>
        </w:rPr>
        <w:t xml:space="preserve"> curriculum relevance, teaching quality, examination integrity</w:t>
      </w:r>
    </w:p>
    <w:p w:rsidR="00BB50B5" w:rsidRPr="00AE27F2" w:rsidRDefault="00BB50B5" w:rsidP="00BB50B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Operational Risks:</w:t>
      </w:r>
      <w:r w:rsidRPr="00AE27F2">
        <w:rPr>
          <w:rFonts w:asciiTheme="majorBidi" w:hAnsiTheme="majorBidi" w:cstheme="majorBidi"/>
        </w:rPr>
        <w:t xml:space="preserve"> administrative failures, ICT downtime, process inefficiencies</w:t>
      </w:r>
    </w:p>
    <w:p w:rsidR="00BB50B5" w:rsidRPr="00AE27F2" w:rsidRDefault="00BB50B5" w:rsidP="00BB50B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Financial Risks:</w:t>
      </w:r>
      <w:r w:rsidRPr="00AE27F2">
        <w:rPr>
          <w:rFonts w:asciiTheme="majorBidi" w:hAnsiTheme="majorBidi" w:cstheme="majorBidi"/>
        </w:rPr>
        <w:t xml:space="preserve"> budget constraints, revenue shortfalls, audit findings</w:t>
      </w:r>
    </w:p>
    <w:p w:rsidR="00BB50B5" w:rsidRPr="00AE27F2" w:rsidRDefault="00BB50B5" w:rsidP="00BB50B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lastRenderedPageBreak/>
        <w:t>Reputational Risks:</w:t>
      </w:r>
      <w:r w:rsidRPr="00AE27F2">
        <w:rPr>
          <w:rFonts w:asciiTheme="majorBidi" w:hAnsiTheme="majorBidi" w:cstheme="majorBidi"/>
        </w:rPr>
        <w:t xml:space="preserve"> student satisfaction, stakeholder relationships, compliance failures</w:t>
      </w:r>
    </w:p>
    <w:p w:rsidR="00BB50B5" w:rsidRPr="00AE27F2" w:rsidRDefault="00BB50B5" w:rsidP="00BB50B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Human Resource Risks:</w:t>
      </w:r>
      <w:r w:rsidRPr="00AE27F2">
        <w:rPr>
          <w:rFonts w:asciiTheme="majorBidi" w:hAnsiTheme="majorBidi" w:cstheme="majorBidi"/>
        </w:rPr>
        <w:t xml:space="preserve"> staff turnover, skill gaps, misconduct</w:t>
      </w:r>
    </w:p>
    <w:p w:rsidR="00BB50B5" w:rsidRPr="00AE27F2" w:rsidRDefault="00BB50B5" w:rsidP="00BB50B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Health &amp; Safety Risks:</w:t>
      </w:r>
      <w:r w:rsidRPr="00AE27F2">
        <w:rPr>
          <w:rFonts w:asciiTheme="majorBidi" w:hAnsiTheme="majorBidi" w:cstheme="majorBidi"/>
        </w:rPr>
        <w:t xml:space="preserve"> accidents, pandemics, emergencies</w:t>
      </w:r>
    </w:p>
    <w:p w:rsidR="00BB50B5" w:rsidRPr="00AE27F2" w:rsidRDefault="00BB50B5" w:rsidP="00BB50B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Technological Risks:</w:t>
      </w:r>
      <w:r w:rsidRPr="00AE27F2">
        <w:rPr>
          <w:rFonts w:asciiTheme="majorBidi" w:hAnsiTheme="majorBidi" w:cstheme="majorBidi"/>
        </w:rPr>
        <w:t xml:space="preserve"> cybersecurity threats, system failures</w:t>
      </w:r>
    </w:p>
    <w:p w:rsidR="00BB50B5" w:rsidRPr="00AE27F2" w:rsidRDefault="00BB50B5" w:rsidP="00BB50B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Environmental Risks:</w:t>
      </w:r>
      <w:r w:rsidRPr="00AE27F2">
        <w:rPr>
          <w:rFonts w:asciiTheme="majorBidi" w:hAnsiTheme="majorBidi" w:cstheme="majorBidi"/>
        </w:rPr>
        <w:t xml:space="preserve"> energy use, waste, environmental impact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Risk identification tools include:</w:t>
      </w:r>
    </w:p>
    <w:p w:rsidR="00BB50B5" w:rsidRPr="00AE27F2" w:rsidRDefault="00BB50B5" w:rsidP="00BB50B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Departmental reports</w:t>
      </w:r>
    </w:p>
    <w:p w:rsidR="00BB50B5" w:rsidRPr="00AE27F2" w:rsidRDefault="00BB50B5" w:rsidP="00BB50B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Audits and reviews</w:t>
      </w:r>
    </w:p>
    <w:p w:rsidR="00BB50B5" w:rsidRPr="00AE27F2" w:rsidRDefault="00BB50B5" w:rsidP="00BB50B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Incident logs</w:t>
      </w:r>
    </w:p>
    <w:p w:rsidR="00BB50B5" w:rsidRPr="00AE27F2" w:rsidRDefault="00BB50B5" w:rsidP="00BB50B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Feedback from students, staff, and stakeholders</w:t>
      </w:r>
    </w:p>
    <w:p w:rsidR="00BB50B5" w:rsidRPr="00AE27F2" w:rsidRDefault="00BB50B5" w:rsidP="00BB50B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Benchmarking and external reports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6.2 Risk Assessment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Each risk is assessed based on:</w:t>
      </w:r>
    </w:p>
    <w:p w:rsidR="00BB50B5" w:rsidRPr="00AE27F2" w:rsidRDefault="00BB50B5" w:rsidP="00BB50B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Likelihood (Low–Medium–High)</w:t>
      </w:r>
    </w:p>
    <w:p w:rsidR="00BB50B5" w:rsidRPr="00AE27F2" w:rsidRDefault="00BB50B5" w:rsidP="00BB50B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  <w:b/>
          <w:bCs/>
        </w:rPr>
        <w:t>Impact (Minor–Moderate–Severe)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 xml:space="preserve">A </w:t>
      </w:r>
      <w:r w:rsidRPr="00AE27F2">
        <w:rPr>
          <w:rFonts w:asciiTheme="majorBidi" w:hAnsiTheme="majorBidi" w:cstheme="majorBidi"/>
          <w:b/>
          <w:bCs/>
        </w:rPr>
        <w:t>Risk Matrix</w:t>
      </w:r>
      <w:r w:rsidRPr="00AE27F2">
        <w:rPr>
          <w:rFonts w:asciiTheme="majorBidi" w:hAnsiTheme="majorBidi" w:cstheme="majorBidi"/>
        </w:rPr>
        <w:t xml:space="preserve"> is used to categorize risks into:</w:t>
      </w:r>
    </w:p>
    <w:p w:rsidR="00BB50B5" w:rsidRPr="00AE27F2" w:rsidRDefault="00BB50B5" w:rsidP="00BB50B5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Low (acceptable risk)</w:t>
      </w:r>
    </w:p>
    <w:p w:rsidR="00BB50B5" w:rsidRPr="00AE27F2" w:rsidRDefault="00BB50B5" w:rsidP="00BB50B5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Medium (requires monitoring)</w:t>
      </w:r>
    </w:p>
    <w:p w:rsidR="00BB50B5" w:rsidRPr="00AE27F2" w:rsidRDefault="00BB50B5" w:rsidP="00BB50B5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High (requires immediate action)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6.3 Risk Mitigation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Mitigation strategies include:</w:t>
      </w:r>
    </w:p>
    <w:p w:rsidR="00BB50B5" w:rsidRPr="00AE27F2" w:rsidRDefault="00BB50B5" w:rsidP="00BB50B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Revised policies or procedures</w:t>
      </w:r>
    </w:p>
    <w:p w:rsidR="00BB50B5" w:rsidRPr="00AE27F2" w:rsidRDefault="00BB50B5" w:rsidP="00BB50B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Improved controls and monitoring</w:t>
      </w:r>
    </w:p>
    <w:p w:rsidR="00BB50B5" w:rsidRPr="00AE27F2" w:rsidRDefault="00BB50B5" w:rsidP="00BB50B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Training and capacity building</w:t>
      </w:r>
    </w:p>
    <w:p w:rsidR="00BB50B5" w:rsidRPr="00AE27F2" w:rsidRDefault="00BB50B5" w:rsidP="00BB50B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Resource allocation</w:t>
      </w:r>
    </w:p>
    <w:p w:rsidR="00BB50B5" w:rsidRPr="00AE27F2" w:rsidRDefault="00BB50B5" w:rsidP="00BB50B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Technology upgrades</w:t>
      </w:r>
    </w:p>
    <w:p w:rsidR="00BB50B5" w:rsidRPr="00AE27F2" w:rsidRDefault="00BB50B5" w:rsidP="00BB50B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Health and safety measures</w:t>
      </w:r>
    </w:p>
    <w:p w:rsidR="00BB50B5" w:rsidRPr="00AE27F2" w:rsidRDefault="00BB50B5" w:rsidP="00BB50B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Preventive maintenance</w:t>
      </w:r>
    </w:p>
    <w:p w:rsidR="00BB50B5" w:rsidRPr="00AE27F2" w:rsidRDefault="00BB50B5" w:rsidP="00BB50B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Contingency planning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6.4 Risk Monitoring</w:t>
      </w:r>
    </w:p>
    <w:p w:rsidR="00BB50B5" w:rsidRPr="00AE27F2" w:rsidRDefault="00BB50B5" w:rsidP="00BB50B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RMSC monitors risks and reports quarterly to Senate.</w:t>
      </w:r>
    </w:p>
    <w:p w:rsidR="00BB50B5" w:rsidRPr="00AE27F2" w:rsidRDefault="00BB50B5" w:rsidP="00BB50B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IQAC integrates risk indicators into annual audits and APMRs.</w:t>
      </w:r>
    </w:p>
    <w:p w:rsidR="00BB50B5" w:rsidRPr="00AE27F2" w:rsidRDefault="00BB50B5" w:rsidP="00BB50B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Units update risk registers every semester.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7. Business Continuity and Crisis Management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7.1 Business Continuity Plan (BCP)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BCP ensures uninterrupted operations in emergencies:</w:t>
      </w:r>
    </w:p>
    <w:p w:rsidR="00BB50B5" w:rsidRPr="00AE27F2" w:rsidRDefault="00BB50B5" w:rsidP="00BB50B5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ICT backup systems</w:t>
      </w:r>
    </w:p>
    <w:p w:rsidR="00BB50B5" w:rsidRPr="00AE27F2" w:rsidRDefault="00BB50B5" w:rsidP="00BB50B5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Off-site data storage</w:t>
      </w:r>
    </w:p>
    <w:p w:rsidR="00BB50B5" w:rsidRPr="00AE27F2" w:rsidRDefault="00BB50B5" w:rsidP="00BB50B5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Alternative teaching platforms (e-learning)</w:t>
      </w:r>
    </w:p>
    <w:p w:rsidR="00BB50B5" w:rsidRPr="00AE27F2" w:rsidRDefault="00BB50B5" w:rsidP="00BB50B5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Emergency communication protocols</w:t>
      </w:r>
    </w:p>
    <w:p w:rsidR="00BB50B5" w:rsidRPr="00AE27F2" w:rsidRDefault="00BB50B5" w:rsidP="00BB50B5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Continuity of examinations and learning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7.2 Crisis Response Team (CRT)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Chaired by the CEO/Director, responsible for:</w:t>
      </w:r>
    </w:p>
    <w:p w:rsidR="00BB50B5" w:rsidRPr="00AE27F2" w:rsidRDefault="00BB50B5" w:rsidP="00BB50B5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Coordinating emergency response</w:t>
      </w:r>
    </w:p>
    <w:p w:rsidR="00BB50B5" w:rsidRPr="00AE27F2" w:rsidRDefault="00BB50B5" w:rsidP="00BB50B5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Ensuring staff and student safety</w:t>
      </w:r>
    </w:p>
    <w:p w:rsidR="00BB50B5" w:rsidRPr="00AE27F2" w:rsidRDefault="00BB50B5" w:rsidP="00BB50B5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Liaising with authorities</w:t>
      </w:r>
    </w:p>
    <w:p w:rsidR="00BB50B5" w:rsidRPr="00AE27F2" w:rsidRDefault="00BB50B5" w:rsidP="00BB50B5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Ensuring academic continuity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7.3 Emergency Preparedness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Includes:</w:t>
      </w:r>
    </w:p>
    <w:p w:rsidR="00BB50B5" w:rsidRPr="00AE27F2" w:rsidRDefault="00BB50B5" w:rsidP="00BB50B5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Fire safety and evacuation plans</w:t>
      </w:r>
    </w:p>
    <w:p w:rsidR="00BB50B5" w:rsidRPr="00AE27F2" w:rsidRDefault="00BB50B5" w:rsidP="00BB50B5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Health emergencies (pandemic protocols)</w:t>
      </w:r>
    </w:p>
    <w:p w:rsidR="00BB50B5" w:rsidRPr="00AE27F2" w:rsidRDefault="00BB50B5" w:rsidP="00BB50B5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Disaster risk reduction (DRR) measures</w:t>
      </w:r>
    </w:p>
    <w:p w:rsidR="00BB50B5" w:rsidRPr="00AE27F2" w:rsidRDefault="00BB50B5" w:rsidP="00BB50B5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Regular drills and safety audits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8. Sustainability Framework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8.1 Environmental Sustainability</w:t>
      </w:r>
    </w:p>
    <w:p w:rsidR="00BB50B5" w:rsidRPr="00AE27F2" w:rsidRDefault="00BB50B5" w:rsidP="00BB50B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Minimizing carbon footprint</w:t>
      </w:r>
    </w:p>
    <w:p w:rsidR="00BB50B5" w:rsidRPr="00AE27F2" w:rsidRDefault="00BB50B5" w:rsidP="00BB50B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Energy-efficient buildings and practices</w:t>
      </w:r>
    </w:p>
    <w:p w:rsidR="00BB50B5" w:rsidRPr="00AE27F2" w:rsidRDefault="00BB50B5" w:rsidP="00BB50B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Water conservation</w:t>
      </w:r>
    </w:p>
    <w:p w:rsidR="00BB50B5" w:rsidRPr="00AE27F2" w:rsidRDefault="00BB50B5" w:rsidP="00BB50B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 xml:space="preserve">Waste reduction and recycling </w:t>
      </w:r>
      <w:proofErr w:type="spellStart"/>
      <w:r w:rsidRPr="00AE27F2">
        <w:rPr>
          <w:rFonts w:asciiTheme="majorBidi" w:hAnsiTheme="majorBidi" w:cstheme="majorBidi"/>
        </w:rPr>
        <w:t>programmes</w:t>
      </w:r>
      <w:proofErr w:type="spellEnd"/>
    </w:p>
    <w:p w:rsidR="00BB50B5" w:rsidRPr="00AE27F2" w:rsidRDefault="00BB50B5" w:rsidP="00BB50B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Green procurement policies</w:t>
      </w:r>
    </w:p>
    <w:p w:rsidR="00BB50B5" w:rsidRPr="00AE27F2" w:rsidRDefault="00BB50B5" w:rsidP="00BB50B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Environmentally responsible landscaping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8.2 Social Sustainability</w:t>
      </w:r>
    </w:p>
    <w:p w:rsidR="00BB50B5" w:rsidRPr="00AE27F2" w:rsidRDefault="00BB50B5" w:rsidP="00BB50B5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Equity, inclusion, and diversity initiatives</w:t>
      </w:r>
    </w:p>
    <w:p w:rsidR="00BB50B5" w:rsidRPr="00AE27F2" w:rsidRDefault="00BB50B5" w:rsidP="00BB50B5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Community engagement and outreach</w:t>
      </w:r>
    </w:p>
    <w:p w:rsidR="00BB50B5" w:rsidRPr="00AE27F2" w:rsidRDefault="00BB50B5" w:rsidP="00BB50B5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 xml:space="preserve">Student and staff wellbeing </w:t>
      </w:r>
      <w:proofErr w:type="spellStart"/>
      <w:r w:rsidRPr="00AE27F2">
        <w:rPr>
          <w:rFonts w:asciiTheme="majorBidi" w:hAnsiTheme="majorBidi" w:cstheme="majorBidi"/>
        </w:rPr>
        <w:t>programmes</w:t>
      </w:r>
      <w:proofErr w:type="spellEnd"/>
    </w:p>
    <w:p w:rsidR="00BB50B5" w:rsidRPr="00AE27F2" w:rsidRDefault="00BB50B5" w:rsidP="00BB50B5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lastRenderedPageBreak/>
        <w:t>Ethical conduct and safe learning environments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8.3 Economic Sustainability</w:t>
      </w:r>
    </w:p>
    <w:p w:rsidR="00BB50B5" w:rsidRPr="00AE27F2" w:rsidRDefault="00BB50B5" w:rsidP="00BB50B5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Financial planning aligned with corporate strategy</w:t>
      </w:r>
    </w:p>
    <w:p w:rsidR="00BB50B5" w:rsidRPr="00AE27F2" w:rsidRDefault="00BB50B5" w:rsidP="00BB50B5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Efficient resource utilization</w:t>
      </w:r>
    </w:p>
    <w:p w:rsidR="00BB50B5" w:rsidRPr="00AE27F2" w:rsidRDefault="00BB50B5" w:rsidP="00BB50B5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Transparent budgeting and procurement</w:t>
      </w:r>
    </w:p>
    <w:p w:rsidR="00BB50B5" w:rsidRPr="00AE27F2" w:rsidRDefault="00BB50B5" w:rsidP="00BB50B5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Diversification of revenue streams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8.4 Academic Sustainability</w:t>
      </w:r>
    </w:p>
    <w:p w:rsidR="00BB50B5" w:rsidRPr="00AE27F2" w:rsidRDefault="00BB50B5" w:rsidP="00BB50B5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Future-ready curriculum</w:t>
      </w:r>
    </w:p>
    <w:p w:rsidR="00BB50B5" w:rsidRPr="00AE27F2" w:rsidRDefault="00BB50B5" w:rsidP="00BB50B5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Staff development</w:t>
      </w:r>
    </w:p>
    <w:p w:rsidR="00BB50B5" w:rsidRPr="00AE27F2" w:rsidRDefault="00BB50B5" w:rsidP="00BB50B5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Interdisciplinary learning and innovation</w:t>
      </w:r>
    </w:p>
    <w:p w:rsidR="00BB50B5" w:rsidRPr="00AE27F2" w:rsidRDefault="00BB50B5" w:rsidP="00BB50B5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Retention of quality faculty</w:t>
      </w:r>
    </w:p>
    <w:p w:rsidR="00BB50B5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9.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6849"/>
      </w:tblGrid>
      <w:tr w:rsidR="00BB50B5" w:rsidRPr="00AE27F2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E27F2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E27F2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BB50B5" w:rsidRPr="00AE27F2" w:rsidTr="00D55684"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Approves risk and sustainability policies; allocates resources.</w:t>
            </w:r>
          </w:p>
        </w:tc>
      </w:tr>
      <w:tr w:rsidR="00BB50B5" w:rsidRPr="00AE27F2" w:rsidTr="00D55684"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Monitors institutional risks affecting academic quality; validates reports.</w:t>
            </w:r>
          </w:p>
        </w:tc>
      </w:tr>
      <w:tr w:rsidR="00BB50B5" w:rsidRPr="00AE27F2" w:rsidTr="00D55684"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Integrates risk management into QA processes; maintains risk registers.</w:t>
            </w:r>
          </w:p>
        </w:tc>
      </w:tr>
      <w:tr w:rsidR="00BB50B5" w:rsidRPr="00AE27F2" w:rsidTr="00D55684"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RMSC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Conducts risk assessments; recommends mitigation; monitors sustainability.</w:t>
            </w:r>
          </w:p>
        </w:tc>
      </w:tr>
      <w:tr w:rsidR="00BB50B5" w:rsidRPr="00AE27F2" w:rsidTr="00D55684"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Implement risk and sustainability actions within faculties.</w:t>
            </w:r>
          </w:p>
        </w:tc>
      </w:tr>
      <w:tr w:rsidR="00BB50B5" w:rsidRPr="00AE27F2" w:rsidTr="00D55684"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Administrative Units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Maintain operational risk controls and documentation.</w:t>
            </w:r>
          </w:p>
        </w:tc>
      </w:tr>
      <w:tr w:rsidR="00BB50B5" w:rsidRPr="00AE27F2" w:rsidTr="00D55684"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All Staff &amp; Students</w:t>
            </w:r>
          </w:p>
        </w:tc>
        <w:tc>
          <w:tcPr>
            <w:tcW w:w="0" w:type="auto"/>
            <w:hideMark/>
          </w:tcPr>
          <w:p w:rsidR="00BB50B5" w:rsidRPr="00AE27F2" w:rsidRDefault="00BB50B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27F2">
              <w:rPr>
                <w:rFonts w:asciiTheme="majorBidi" w:hAnsiTheme="majorBidi" w:cstheme="majorBidi"/>
              </w:rPr>
              <w:t>Follow safety protocols and contribute to sustainability initiatives.</w:t>
            </w:r>
          </w:p>
        </w:tc>
      </w:tr>
    </w:tbl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10. Reporting and Communication</w:t>
      </w:r>
    </w:p>
    <w:p w:rsidR="00BB50B5" w:rsidRPr="00AE27F2" w:rsidRDefault="00BB50B5" w:rsidP="00BB50B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Quarterly Risk Reports submitted to Senate.</w:t>
      </w:r>
    </w:p>
    <w:p w:rsidR="00BB50B5" w:rsidRPr="00AE27F2" w:rsidRDefault="00BB50B5" w:rsidP="00BB50B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Annual Risk and Sustainability Report submitted by IQAC to the Governing Board.</w:t>
      </w:r>
    </w:p>
    <w:p w:rsidR="00BB50B5" w:rsidRPr="00AE27F2" w:rsidRDefault="00BB50B5" w:rsidP="00BB50B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Alerts issued for high-risk incidents requiring urgent action.</w:t>
      </w:r>
    </w:p>
    <w:p w:rsidR="00BB50B5" w:rsidRPr="00AE27F2" w:rsidRDefault="00BB50B5" w:rsidP="00BB50B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Communication channels include LMS, SIS, email, and official notices.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11. Review and Amendment</w:t>
      </w:r>
    </w:p>
    <w:p w:rsidR="00BB50B5" w:rsidRPr="00AE27F2" w:rsidRDefault="00BB50B5" w:rsidP="00BB50B5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lastRenderedPageBreak/>
        <w:t>This policy will be reviewed every three (3) years or earlier if required by changes in QAAC, UGC, legal, or environmental standards.</w:t>
      </w:r>
    </w:p>
    <w:p w:rsidR="00BB50B5" w:rsidRPr="00AE27F2" w:rsidRDefault="00BB50B5" w:rsidP="00BB50B5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Amendments proposed by RMSC, endorsed by IQAC, and approved by the Governing Board.</w:t>
      </w:r>
    </w:p>
    <w:p w:rsidR="00BB50B5" w:rsidRPr="00AE27F2" w:rsidRDefault="00BB50B5" w:rsidP="00BB50B5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All revisions logged in the Policy Version Register.</w:t>
      </w: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B50B5" w:rsidRPr="00AE27F2" w:rsidRDefault="00BB50B5" w:rsidP="00BB50B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AE27F2">
        <w:rPr>
          <w:rFonts w:asciiTheme="majorBidi" w:hAnsiTheme="majorBidi" w:cstheme="majorBidi"/>
          <w:b/>
          <w:bCs/>
        </w:rPr>
        <w:t>12. Related Documents</w:t>
      </w:r>
    </w:p>
    <w:p w:rsidR="00BB50B5" w:rsidRPr="00AE27F2" w:rsidRDefault="00BB50B5" w:rsidP="00BB50B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Internal Audit and Continuous Improvement Policy</w:t>
      </w:r>
    </w:p>
    <w:p w:rsidR="00BB50B5" w:rsidRPr="00AE27F2" w:rsidRDefault="00BB50B5" w:rsidP="00BB50B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Institutional Quality Assurance Framework</w:t>
      </w:r>
    </w:p>
    <w:p w:rsidR="00BB50B5" w:rsidRPr="00AE27F2" w:rsidRDefault="00BB50B5" w:rsidP="00BB50B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Health and Safety Policy</w:t>
      </w:r>
    </w:p>
    <w:p w:rsidR="00BB50B5" w:rsidRPr="00AE27F2" w:rsidRDefault="00BB50B5" w:rsidP="00BB50B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ICT and Data Security Policy</w:t>
      </w:r>
    </w:p>
    <w:p w:rsidR="00BB50B5" w:rsidRPr="00AE27F2" w:rsidRDefault="00BB50B5" w:rsidP="00BB50B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Environmental and Energy Guidelines</w:t>
      </w:r>
    </w:p>
    <w:p w:rsidR="00BB50B5" w:rsidRPr="00AE27F2" w:rsidRDefault="00BB50B5" w:rsidP="00BB50B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Business Continuity and Disaster Recovery Plan</w:t>
      </w:r>
    </w:p>
    <w:p w:rsidR="00BB50B5" w:rsidRDefault="00BB50B5" w:rsidP="00BB50B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27F2">
        <w:rPr>
          <w:rFonts w:asciiTheme="majorBidi" w:hAnsiTheme="majorBidi" w:cstheme="majorBidi"/>
        </w:rPr>
        <w:t>SLQF and QAAC Review Manuals</w:t>
      </w:r>
    </w:p>
    <w:p w:rsidR="00AC76E0" w:rsidRPr="00BB50B5" w:rsidRDefault="00BB50B5" w:rsidP="00BB50B5"/>
    <w:sectPr w:rsidR="00AC76E0" w:rsidRPr="00BB5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812"/>
    <w:multiLevelType w:val="multilevel"/>
    <w:tmpl w:val="7FBE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51B30"/>
    <w:multiLevelType w:val="multilevel"/>
    <w:tmpl w:val="5E96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62695"/>
    <w:multiLevelType w:val="multilevel"/>
    <w:tmpl w:val="D5BC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B0203"/>
    <w:multiLevelType w:val="multilevel"/>
    <w:tmpl w:val="A81A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869E5"/>
    <w:multiLevelType w:val="multilevel"/>
    <w:tmpl w:val="80B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C6D81"/>
    <w:multiLevelType w:val="multilevel"/>
    <w:tmpl w:val="629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145C6"/>
    <w:multiLevelType w:val="multilevel"/>
    <w:tmpl w:val="1DD2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8647B"/>
    <w:multiLevelType w:val="multilevel"/>
    <w:tmpl w:val="F96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624CE"/>
    <w:multiLevelType w:val="multilevel"/>
    <w:tmpl w:val="4FC0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55A69"/>
    <w:multiLevelType w:val="multilevel"/>
    <w:tmpl w:val="6A2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F2D94"/>
    <w:multiLevelType w:val="multilevel"/>
    <w:tmpl w:val="8A2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24E08"/>
    <w:multiLevelType w:val="multilevel"/>
    <w:tmpl w:val="A590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339A5"/>
    <w:multiLevelType w:val="multilevel"/>
    <w:tmpl w:val="763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169FD"/>
    <w:multiLevelType w:val="multilevel"/>
    <w:tmpl w:val="9FDE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F6BBB"/>
    <w:multiLevelType w:val="multilevel"/>
    <w:tmpl w:val="83B6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E2455"/>
    <w:multiLevelType w:val="multilevel"/>
    <w:tmpl w:val="07BA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1585D"/>
    <w:multiLevelType w:val="multilevel"/>
    <w:tmpl w:val="848A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A6AFB"/>
    <w:multiLevelType w:val="multilevel"/>
    <w:tmpl w:val="BCC0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E01AC"/>
    <w:multiLevelType w:val="multilevel"/>
    <w:tmpl w:val="8480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2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8"/>
  </w:num>
  <w:num w:numId="10">
    <w:abstractNumId w:val="15"/>
  </w:num>
  <w:num w:numId="11">
    <w:abstractNumId w:val="1"/>
  </w:num>
  <w:num w:numId="12">
    <w:abstractNumId w:val="14"/>
  </w:num>
  <w:num w:numId="13">
    <w:abstractNumId w:val="17"/>
  </w:num>
  <w:num w:numId="14">
    <w:abstractNumId w:val="10"/>
  </w:num>
  <w:num w:numId="15">
    <w:abstractNumId w:val="13"/>
  </w:num>
  <w:num w:numId="16">
    <w:abstractNumId w:val="4"/>
  </w:num>
  <w:num w:numId="17">
    <w:abstractNumId w:val="16"/>
  </w:num>
  <w:num w:numId="18">
    <w:abstractNumId w:val="6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15D97"/>
    <w:rsid w:val="000411F5"/>
    <w:rsid w:val="000A7626"/>
    <w:rsid w:val="001B3D42"/>
    <w:rsid w:val="003843A1"/>
    <w:rsid w:val="005A5316"/>
    <w:rsid w:val="008014A6"/>
    <w:rsid w:val="00827CE8"/>
    <w:rsid w:val="008928FF"/>
    <w:rsid w:val="009A517E"/>
    <w:rsid w:val="00A30957"/>
    <w:rsid w:val="00A46BAC"/>
    <w:rsid w:val="00B66F02"/>
    <w:rsid w:val="00BB50B5"/>
    <w:rsid w:val="00D168DA"/>
    <w:rsid w:val="00E26E9F"/>
    <w:rsid w:val="00E52113"/>
    <w:rsid w:val="00E714BF"/>
    <w:rsid w:val="00E921EE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2025-12-15T08:43:00Z</dcterms:created>
  <dcterms:modified xsi:type="dcterms:W3CDTF">2025-12-15T08:43:00Z</dcterms:modified>
</cp:coreProperties>
</file>