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900944">
        <w:rPr>
          <w:rFonts w:asciiTheme="majorBidi" w:hAnsiTheme="majorBidi" w:cstheme="majorBidi"/>
          <w:b/>
          <w:bCs/>
        </w:rPr>
        <w:t>Infortec</w:t>
      </w:r>
      <w:proofErr w:type="spellEnd"/>
      <w:r w:rsidRPr="00900944">
        <w:rPr>
          <w:rFonts w:asciiTheme="majorBidi" w:hAnsiTheme="majorBidi" w:cstheme="majorBidi"/>
          <w:b/>
          <w:bCs/>
        </w:rPr>
        <w:t xml:space="preserve"> International Technologies </w:t>
      </w:r>
    </w:p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00944">
        <w:rPr>
          <w:rFonts w:asciiTheme="majorBidi" w:hAnsiTheme="majorBidi" w:cstheme="majorBidi"/>
          <w:b/>
          <w:bCs/>
        </w:rPr>
        <w:t>ICT, Digital Infrastructure, and Data Security Policy</w:t>
      </w:r>
    </w:p>
    <w:bookmarkEnd w:id="0"/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19</w:t>
      </w:r>
      <w:r w:rsidRPr="001E14C8">
        <w:rPr>
          <w:rFonts w:asciiTheme="majorBidi" w:hAnsiTheme="majorBidi" w:cstheme="majorBidi"/>
        </w:rPr>
        <w:t>/11/25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0F5EDE" w:rsidRPr="0090094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1. Preamble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Reliable ICT systems, secure digital infrastructure, and strong data protection measures are essential to academic excellence, institutional operations, and stakeholder trust.</w:t>
      </w:r>
      <w:r w:rsidRPr="00900944">
        <w:rPr>
          <w:rFonts w:asciiTheme="majorBidi" w:hAnsiTheme="majorBidi" w:cstheme="majorBidi"/>
        </w:rPr>
        <w:br/>
      </w:r>
      <w:proofErr w:type="spellStart"/>
      <w:r w:rsidRPr="00900944">
        <w:rPr>
          <w:rFonts w:asciiTheme="majorBidi" w:hAnsiTheme="majorBidi" w:cstheme="majorBidi"/>
        </w:rPr>
        <w:t>Infortec</w:t>
      </w:r>
      <w:proofErr w:type="spellEnd"/>
      <w:r w:rsidRPr="00900944">
        <w:rPr>
          <w:rFonts w:asciiTheme="majorBidi" w:hAnsiTheme="majorBidi" w:cstheme="majorBidi"/>
        </w:rPr>
        <w:t xml:space="preserve"> International Technologies (University Division) recognizes that modern education depends heavily on technology-enabled teaching, learning, research, and administration.</w:t>
      </w:r>
      <w:r w:rsidRPr="00900944">
        <w:rPr>
          <w:rFonts w:asciiTheme="majorBidi" w:hAnsiTheme="majorBidi" w:cstheme="majorBidi"/>
        </w:rPr>
        <w:br/>
        <w:t>This policy establishes the framework for ICT governance, cybersecurity, digital resource management, and data protection in accordance with national laws, QAAC guidelines, and international standards (such as ISO/IEC 27001).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2. Policy Statement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The University Division is committed to ensuring secure, efficient, resilient, and well-governed ICT infrastructure.</w:t>
      </w:r>
      <w:r>
        <w:rPr>
          <w:rFonts w:asciiTheme="majorBidi" w:hAnsiTheme="majorBidi" w:cstheme="majorBidi"/>
        </w:rPr>
        <w:t xml:space="preserve"> </w:t>
      </w:r>
      <w:r w:rsidRPr="00900944">
        <w:rPr>
          <w:rFonts w:asciiTheme="majorBidi" w:hAnsiTheme="majorBidi" w:cstheme="majorBidi"/>
        </w:rPr>
        <w:t>All users must uphold responsible usage, protect institutional data, and comply with cybersecurity guidelines.</w:t>
      </w:r>
      <w:r>
        <w:rPr>
          <w:rFonts w:asciiTheme="majorBidi" w:hAnsiTheme="majorBidi" w:cstheme="majorBidi"/>
        </w:rPr>
        <w:t xml:space="preserve"> </w:t>
      </w:r>
      <w:r w:rsidRPr="00900944">
        <w:rPr>
          <w:rFonts w:asciiTheme="majorBidi" w:hAnsiTheme="majorBidi" w:cstheme="majorBidi"/>
        </w:rPr>
        <w:t>Digital systems must support teaching, learning, research, administration, and communication while ensuring privacy, confidentiality, and operational continuity.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3. Objectives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ensure reliable, secure, and scalable ICT infrastructure for academic and administrative functions.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protect institutional data and digital assets from unauthorized access, misuse, breaches, and cyber threats.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define standards for ICT governance, systems administration, and digital tool usage.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promote responsible, ethical, and secure use of ICT resources among staff and students.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To ensure business continuity through backups, disaster recovery, and cybersecurity protocols.</w:t>
      </w:r>
    </w:p>
    <w:p w:rsidR="000F5EDE" w:rsidRPr="00900944" w:rsidRDefault="000F5EDE" w:rsidP="000F5EDE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comply with national data protection regulations, QA standards, and industry best practices.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4. Scope and Applicability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This policy applies to:</w:t>
      </w:r>
    </w:p>
    <w:p w:rsidR="000F5EDE" w:rsidRPr="00900944" w:rsidRDefault="000F5EDE" w:rsidP="000F5ED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staff, students, contractors, and external users accessing institutional ICT systems;</w:t>
      </w:r>
    </w:p>
    <w:p w:rsidR="000F5EDE" w:rsidRPr="00900944" w:rsidRDefault="000F5EDE" w:rsidP="000F5ED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ICT infrastructure including servers, networks, LMS, SIS, email systems, and digital resources;</w:t>
      </w:r>
    </w:p>
    <w:p w:rsidR="000F5EDE" w:rsidRPr="00900944" w:rsidRDefault="000F5EDE" w:rsidP="000F5ED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institutional data, documents, records, and digital communications;</w:t>
      </w:r>
    </w:p>
    <w:p w:rsidR="000F5EDE" w:rsidRPr="00900944" w:rsidRDefault="000F5EDE" w:rsidP="000F5ED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All faculties, departments, </w:t>
      </w:r>
      <w:proofErr w:type="spellStart"/>
      <w:r w:rsidRPr="00900944">
        <w:rPr>
          <w:rFonts w:asciiTheme="majorBidi" w:hAnsiTheme="majorBidi" w:cstheme="majorBidi"/>
        </w:rPr>
        <w:t>centres</w:t>
      </w:r>
      <w:proofErr w:type="spellEnd"/>
      <w:r w:rsidRPr="00900944">
        <w:rPr>
          <w:rFonts w:asciiTheme="majorBidi" w:hAnsiTheme="majorBidi" w:cstheme="majorBidi"/>
        </w:rPr>
        <w:t>, and administrative units;</w:t>
      </w:r>
    </w:p>
    <w:p w:rsidR="000F5EDE" w:rsidRPr="00900944" w:rsidRDefault="000F5EDE" w:rsidP="000F5EDE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Both on-campus and remote access to systems.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5. Guiding Principles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Security – Protection of networks, systems, and data is a priority.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Reliability – ICT systems must be stable, continuously available, and maintained.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Confidentiality – Sensitive information must be protected at all times.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Integrity – Data must be accurate, consistent, and tamper-resistant.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Accountability – Users responsible for all digital interactions and compliance.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Compliance – Adherence to QAAC standards, SLDP Act (Sri Lanka Data Protection), and institutional regulations.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Accessibility – ICT resources must support inclusive and equitable access.</w:t>
      </w:r>
    </w:p>
    <w:p w:rsidR="000F5EDE" w:rsidRPr="00900944" w:rsidRDefault="000F5EDE" w:rsidP="000F5EDE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Sustainability – ICT practices must minimize environmental impact (e-waste, energy use).</w:t>
      </w:r>
    </w:p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 ICT Infrastructure Management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6.1 Network and System Administration</w:t>
      </w:r>
    </w:p>
    <w:p w:rsidR="000F5EDE" w:rsidRPr="00900944" w:rsidRDefault="000F5EDE" w:rsidP="000F5ED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ICT Services Division manages all network infrastructure, servers, data </w:t>
      </w:r>
      <w:proofErr w:type="spellStart"/>
      <w:r w:rsidRPr="00900944">
        <w:rPr>
          <w:rFonts w:asciiTheme="majorBidi" w:hAnsiTheme="majorBidi" w:cstheme="majorBidi"/>
        </w:rPr>
        <w:t>centres</w:t>
      </w:r>
      <w:proofErr w:type="spellEnd"/>
      <w:r w:rsidRPr="00900944">
        <w:rPr>
          <w:rFonts w:asciiTheme="majorBidi" w:hAnsiTheme="majorBidi" w:cstheme="majorBidi"/>
        </w:rPr>
        <w:t>, firewalls, and routers.</w:t>
      </w:r>
    </w:p>
    <w:p w:rsidR="000F5EDE" w:rsidRPr="00900944" w:rsidRDefault="000F5EDE" w:rsidP="000F5ED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Routine monitoring ensures uptime, reliability, and performance.</w:t>
      </w:r>
    </w:p>
    <w:p w:rsidR="000F5EDE" w:rsidRPr="00900944" w:rsidRDefault="000F5EDE" w:rsidP="000F5EDE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Unauthorized devices prohibited from connecting to core networks.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6.2 Hardware and Software Standards</w:t>
      </w:r>
    </w:p>
    <w:p w:rsidR="000F5EDE" w:rsidRPr="00900944" w:rsidRDefault="000F5EDE" w:rsidP="000F5ED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Only approved and licensed software permitted.</w:t>
      </w:r>
    </w:p>
    <w:p w:rsidR="000F5EDE" w:rsidRPr="00900944" w:rsidRDefault="000F5EDE" w:rsidP="000F5ED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Procurement follows ICTGCC guidelines to ensure compatibility and security.</w:t>
      </w:r>
    </w:p>
    <w:p w:rsidR="000F5EDE" w:rsidRPr="00900944" w:rsidRDefault="000F5EDE" w:rsidP="000F5EDE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Periodic upgrades and replacements for outdated hardware.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6.3 Learning and Administration Platforms</w:t>
      </w:r>
    </w:p>
    <w:p w:rsidR="000F5EDE" w:rsidRPr="00900944" w:rsidRDefault="000F5EDE" w:rsidP="000F5ED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LMS (e.g., Moodle/Google Classroom), SIS, email systems, HR platforms, and ERP systems managed under strict access control.</w:t>
      </w:r>
    </w:p>
    <w:p w:rsidR="000F5EDE" w:rsidRPr="00900944" w:rsidRDefault="000F5EDE" w:rsidP="000F5EDE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Digital systems must support:</w:t>
      </w:r>
    </w:p>
    <w:p w:rsidR="000F5EDE" w:rsidRPr="00900944" w:rsidRDefault="000F5EDE" w:rsidP="000F5EDE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Online learning</w:t>
      </w:r>
    </w:p>
    <w:p w:rsidR="000F5EDE" w:rsidRPr="00900944" w:rsidRDefault="000F5EDE" w:rsidP="000F5EDE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Virtual meetings</w:t>
      </w:r>
    </w:p>
    <w:p w:rsidR="000F5EDE" w:rsidRPr="00900944" w:rsidRDefault="000F5EDE" w:rsidP="000F5EDE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Examination management</w:t>
      </w:r>
    </w:p>
    <w:p w:rsidR="000F5EDE" w:rsidRPr="00900944" w:rsidRDefault="000F5EDE" w:rsidP="000F5EDE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Student services</w:t>
      </w:r>
    </w:p>
    <w:p w:rsidR="000F5EDE" w:rsidRPr="00900944" w:rsidRDefault="000F5EDE" w:rsidP="000F5EDE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activities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 Cybersecurity and Data Protection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7.1 Data Classification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Data categorized as:</w:t>
      </w:r>
    </w:p>
    <w:p w:rsidR="000F5EDE" w:rsidRPr="00900944" w:rsidRDefault="000F5EDE" w:rsidP="000F5ED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Confidential</w:t>
      </w:r>
      <w:r w:rsidRPr="00900944">
        <w:rPr>
          <w:rFonts w:asciiTheme="majorBidi" w:hAnsiTheme="majorBidi" w:cstheme="majorBidi"/>
        </w:rPr>
        <w:t xml:space="preserve"> (student records, HR files, exam data)</w:t>
      </w:r>
    </w:p>
    <w:p w:rsidR="000F5EDE" w:rsidRPr="00900944" w:rsidRDefault="000F5EDE" w:rsidP="000F5ED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Restricted</w:t>
      </w:r>
      <w:r w:rsidRPr="00900944">
        <w:rPr>
          <w:rFonts w:asciiTheme="majorBidi" w:hAnsiTheme="majorBidi" w:cstheme="majorBidi"/>
        </w:rPr>
        <w:t xml:space="preserve"> (internal communication, departmental data)</w:t>
      </w:r>
    </w:p>
    <w:p w:rsidR="000F5EDE" w:rsidRPr="00900944" w:rsidRDefault="000F5EDE" w:rsidP="000F5EDE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Public</w:t>
      </w:r>
      <w:r w:rsidRPr="00900944">
        <w:rPr>
          <w:rFonts w:asciiTheme="majorBidi" w:hAnsiTheme="majorBidi" w:cstheme="majorBidi"/>
        </w:rPr>
        <w:t xml:space="preserve"> (institutional publications, promotional content)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7.2 Access Control</w:t>
      </w:r>
    </w:p>
    <w:p w:rsidR="000F5EDE" w:rsidRPr="00900944" w:rsidRDefault="000F5EDE" w:rsidP="000F5ED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Role-based access provided by ICT Services.</w:t>
      </w:r>
    </w:p>
    <w:p w:rsidR="000F5EDE" w:rsidRPr="00900944" w:rsidRDefault="000F5EDE" w:rsidP="000F5ED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Multi-factor authentication required for sensitive systems.</w:t>
      </w:r>
    </w:p>
    <w:p w:rsidR="000F5EDE" w:rsidRPr="00900944" w:rsidRDefault="000F5EDE" w:rsidP="000F5EDE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Strong password policies enforced.</w:t>
      </w:r>
    </w:p>
    <w:p w:rsidR="000F5EDE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7.3 Data Security Measures</w:t>
      </w:r>
    </w:p>
    <w:p w:rsidR="000F5EDE" w:rsidRPr="00900944" w:rsidRDefault="000F5EDE" w:rsidP="000F5ED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Encryption for sensitive records;</w:t>
      </w:r>
    </w:p>
    <w:p w:rsidR="000F5EDE" w:rsidRPr="00900944" w:rsidRDefault="000F5EDE" w:rsidP="000F5ED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Secured backups (onsite and offsite/cloud);</w:t>
      </w:r>
    </w:p>
    <w:p w:rsidR="000F5EDE" w:rsidRPr="00900944" w:rsidRDefault="000F5EDE" w:rsidP="000F5ED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Firewalls, antivirus, and intrusion detection systems;</w:t>
      </w:r>
    </w:p>
    <w:p w:rsidR="000F5EDE" w:rsidRPr="00900944" w:rsidRDefault="000F5EDE" w:rsidP="000F5EDE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Regular vulnerability assessments and penetration tests.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7.4 Data Breach Protocol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Immediate action required:</w:t>
      </w:r>
    </w:p>
    <w:p w:rsidR="000F5EDE" w:rsidRPr="00900944" w:rsidRDefault="000F5EDE" w:rsidP="000F5ED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Report incident to ICTGCC;</w:t>
      </w:r>
    </w:p>
    <w:p w:rsidR="000F5EDE" w:rsidRPr="00900944" w:rsidRDefault="000F5EDE" w:rsidP="000F5ED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 xml:space="preserve">Contain and </w:t>
      </w:r>
      <w:proofErr w:type="spellStart"/>
      <w:r w:rsidRPr="00900944">
        <w:rPr>
          <w:rFonts w:asciiTheme="majorBidi" w:hAnsiTheme="majorBidi" w:cstheme="majorBidi"/>
        </w:rPr>
        <w:t>analyse</w:t>
      </w:r>
      <w:proofErr w:type="spellEnd"/>
      <w:r w:rsidRPr="00900944">
        <w:rPr>
          <w:rFonts w:asciiTheme="majorBidi" w:hAnsiTheme="majorBidi" w:cstheme="majorBidi"/>
        </w:rPr>
        <w:t xml:space="preserve"> the breach;</w:t>
      </w:r>
    </w:p>
    <w:p w:rsidR="000F5EDE" w:rsidRPr="00900944" w:rsidRDefault="000F5EDE" w:rsidP="000F5ED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Notify affected parties where required;</w:t>
      </w:r>
    </w:p>
    <w:p w:rsidR="000F5EDE" w:rsidRPr="00900944" w:rsidRDefault="000F5EDE" w:rsidP="000F5EDE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Document findings and mitigation measures.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7.5 Compliance with National Regulations</w:t>
      </w:r>
    </w:p>
    <w:p w:rsidR="000F5EDE" w:rsidRPr="00900944" w:rsidRDefault="000F5EDE" w:rsidP="000F5EDE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Sri Lanka Data Protection Act (SLDPA).</w:t>
      </w:r>
    </w:p>
    <w:p w:rsidR="000F5EDE" w:rsidRPr="00900944" w:rsidRDefault="000F5EDE" w:rsidP="000F5EDE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Relevant cybersecurity and ICT laws.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 Acceptable Use of ICT Resources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8.1 User Responsibilities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users must: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Use ICT resources for academic/administrative purposes;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Avoid unauthorized access or system misuse;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Maintain device and password security;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Adhere to plagiarism prevention and academic integrity standards;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Refrain from sharing confidential information;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Avoid accessing inappropriate or illegal content;</w:t>
      </w:r>
    </w:p>
    <w:p w:rsidR="000F5EDE" w:rsidRPr="00900944" w:rsidRDefault="000F5EDE" w:rsidP="000F5EDE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Respect intellectual property and software licensing.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8.2 Email and Communication</w:t>
      </w:r>
    </w:p>
    <w:p w:rsidR="000F5EDE" w:rsidRPr="00900944" w:rsidRDefault="000F5EDE" w:rsidP="000F5ED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Official email accounts used for all institutional communication.</w:t>
      </w:r>
    </w:p>
    <w:p w:rsidR="000F5EDE" w:rsidRPr="00900944" w:rsidRDefault="000F5EDE" w:rsidP="000F5ED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Bulk messaging requires administrative approval.</w:t>
      </w:r>
    </w:p>
    <w:p w:rsidR="000F5EDE" w:rsidRPr="00900944" w:rsidRDefault="000F5EDE" w:rsidP="000F5EDE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Email etiquette and professionalism mandatory.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8.3 Social Media and Public Communication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Users must avoid:</w:t>
      </w:r>
    </w:p>
    <w:p w:rsidR="000F5EDE" w:rsidRPr="00900944" w:rsidRDefault="000F5EDE" w:rsidP="000F5ED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Sharing confidential institutional data;</w:t>
      </w:r>
    </w:p>
    <w:p w:rsidR="000F5EDE" w:rsidRPr="00900944" w:rsidRDefault="000F5EDE" w:rsidP="000F5ED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Posting content harmful to the institution’s reputation;</w:t>
      </w:r>
    </w:p>
    <w:p w:rsidR="000F5EDE" w:rsidRPr="00900944" w:rsidRDefault="000F5EDE" w:rsidP="000F5EDE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Misrepresenting institutional positions.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9. Business Continuity and Disaster Recovery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9.1 Backup and Recovery</w:t>
      </w:r>
    </w:p>
    <w:p w:rsidR="000F5EDE" w:rsidRPr="00900944" w:rsidRDefault="000F5EDE" w:rsidP="000F5ED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Automated backups performed regularly.</w:t>
      </w:r>
    </w:p>
    <w:p w:rsidR="000F5EDE" w:rsidRPr="00900944" w:rsidRDefault="000F5EDE" w:rsidP="000F5EDE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Disaster recovery plan ensures:</w:t>
      </w:r>
    </w:p>
    <w:p w:rsidR="000F5EDE" w:rsidRPr="00900944" w:rsidRDefault="000F5EDE" w:rsidP="000F5EDE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Data restoration</w:t>
      </w:r>
    </w:p>
    <w:p w:rsidR="000F5EDE" w:rsidRPr="00900944" w:rsidRDefault="000F5EDE" w:rsidP="000F5EDE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Continuity of LMS and SIS</w:t>
      </w:r>
    </w:p>
    <w:p w:rsidR="000F5EDE" w:rsidRPr="00900944" w:rsidRDefault="000F5EDE" w:rsidP="000F5EDE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Remote access arrangements</w:t>
      </w:r>
    </w:p>
    <w:p w:rsidR="000F5EDE" w:rsidRPr="00900944" w:rsidRDefault="000F5EDE" w:rsidP="000F5EDE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Emergency communication systems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9.2 Incident Response Team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ICTGCC forms a dedicated team to:</w:t>
      </w:r>
    </w:p>
    <w:p w:rsidR="000F5EDE" w:rsidRPr="00900944" w:rsidRDefault="000F5EDE" w:rsidP="000F5ED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Respond to cyber incidents</w:t>
      </w:r>
    </w:p>
    <w:p w:rsidR="000F5EDE" w:rsidRPr="00900944" w:rsidRDefault="000F5EDE" w:rsidP="000F5ED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Conduct root-cause analysis</w:t>
      </w:r>
    </w:p>
    <w:p w:rsidR="000F5EDE" w:rsidRPr="00900944" w:rsidRDefault="000F5EDE" w:rsidP="000F5ED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Implement security updates</w:t>
      </w:r>
    </w:p>
    <w:p w:rsidR="000F5EDE" w:rsidRPr="00900944" w:rsidRDefault="000F5EDE" w:rsidP="000F5EDE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Coordinate with management and external agencies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 ICT Support and Training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10.1 ICT Helpdesk</w:t>
      </w:r>
    </w:p>
    <w:p w:rsidR="000F5EDE" w:rsidRPr="00900944" w:rsidRDefault="000F5EDE" w:rsidP="000F5EDE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Provides support for hardware, software, LMS, accounts, and connectivity issues.</w:t>
      </w:r>
    </w:p>
    <w:p w:rsidR="000F5EDE" w:rsidRPr="00900944" w:rsidRDefault="000F5EDE" w:rsidP="000F5EDE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Ensures timely resolution of ICT-related requests.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10.2 Capacity Building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Training provided on:</w:t>
      </w:r>
    </w:p>
    <w:p w:rsidR="000F5EDE" w:rsidRPr="00900944" w:rsidRDefault="000F5EDE" w:rsidP="000F5ED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Cybersecurity awareness</w:t>
      </w:r>
    </w:p>
    <w:p w:rsidR="000F5EDE" w:rsidRPr="00900944" w:rsidRDefault="000F5EDE" w:rsidP="000F5ED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LMS usage</w:t>
      </w:r>
    </w:p>
    <w:p w:rsidR="000F5EDE" w:rsidRPr="00900944" w:rsidRDefault="000F5EDE" w:rsidP="000F5ED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Online teaching tools</w:t>
      </w:r>
    </w:p>
    <w:p w:rsidR="000F5EDE" w:rsidRPr="00900944" w:rsidRDefault="000F5EDE" w:rsidP="000F5ED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Software applications</w:t>
      </w:r>
    </w:p>
    <w:p w:rsidR="000F5EDE" w:rsidRPr="00900944" w:rsidRDefault="000F5EDE" w:rsidP="000F5EDE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Digital literacy for students and staff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11. Monitoring and Quality Assurance</w:t>
      </w:r>
    </w:p>
    <w:p w:rsidR="000F5EDE" w:rsidRPr="00900944" w:rsidRDefault="000F5EDE" w:rsidP="000F5ED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ICT audits conducted annually under IQAC.</w:t>
      </w:r>
    </w:p>
    <w:p w:rsidR="000F5EDE" w:rsidRPr="00900944" w:rsidRDefault="000F5EDE" w:rsidP="000F5ED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ICT performance and security reports submitted every quarter to Senate.</w:t>
      </w:r>
    </w:p>
    <w:p w:rsidR="000F5EDE" w:rsidRPr="00900944" w:rsidRDefault="000F5EDE" w:rsidP="000F5ED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System logs maintained and monitored for anomalies.</w:t>
      </w:r>
    </w:p>
    <w:p w:rsidR="000F5EDE" w:rsidRPr="00900944" w:rsidRDefault="000F5EDE" w:rsidP="000F5EDE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Feedback collected from users for continuous improvement.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4"/>
        <w:gridCol w:w="6662"/>
      </w:tblGrid>
      <w:tr w:rsidR="000F5EDE" w:rsidRPr="0090094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Approves ICT strategy and resource allocation.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Ensures ICT supports academic quality and compliance.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Monitors ICT quality standards and conducts audits.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ICTGCC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Oversees cybersecurity, policy compliance, and digital governance.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ICT Services Division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Manages networks, servers, security, and technical support.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lastRenderedPageBreak/>
              <w:t>Deans &amp; Heads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Ensure faculty-level ICT compliance and resource use.</w:t>
            </w:r>
          </w:p>
        </w:tc>
      </w:tr>
      <w:tr w:rsidR="000F5EDE" w:rsidRPr="00900944" w:rsidTr="00D55684"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Staff and Students</w:t>
            </w:r>
          </w:p>
        </w:tc>
        <w:tc>
          <w:tcPr>
            <w:tcW w:w="0" w:type="auto"/>
            <w:hideMark/>
          </w:tcPr>
          <w:p w:rsidR="000F5EDE" w:rsidRPr="00900944" w:rsidRDefault="000F5EDE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Follow ICT policies, protect data, and use systems responsibly.</w:t>
            </w:r>
          </w:p>
        </w:tc>
      </w:tr>
    </w:tbl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13. Review and Amendment</w:t>
      </w:r>
    </w:p>
    <w:p w:rsidR="000F5EDE" w:rsidRPr="00900944" w:rsidRDefault="000F5EDE" w:rsidP="000F5ED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This policy will be reviewed every </w:t>
      </w:r>
      <w:r w:rsidRPr="00900944">
        <w:rPr>
          <w:rFonts w:asciiTheme="majorBidi" w:hAnsiTheme="majorBidi" w:cstheme="majorBidi"/>
          <w:b/>
          <w:bCs/>
        </w:rPr>
        <w:t>three (3) years</w:t>
      </w:r>
      <w:r w:rsidRPr="00900944">
        <w:rPr>
          <w:rFonts w:asciiTheme="majorBidi" w:hAnsiTheme="majorBidi" w:cstheme="majorBidi"/>
        </w:rPr>
        <w:t>, or sooner based on changes in technology, cybersecurity standards, or regulations.</w:t>
      </w:r>
    </w:p>
    <w:p w:rsidR="000F5EDE" w:rsidRPr="00900944" w:rsidRDefault="000F5EDE" w:rsidP="000F5ED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Amendments proposed by ICTGCC → endorsed by IQAC → approved by Governing Board.</w:t>
      </w:r>
    </w:p>
    <w:p w:rsidR="000F5EDE" w:rsidRPr="00900944" w:rsidRDefault="000F5EDE" w:rsidP="000F5EDE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All updates recorded in the </w:t>
      </w:r>
      <w:r w:rsidRPr="00900944">
        <w:rPr>
          <w:rFonts w:asciiTheme="majorBidi" w:hAnsiTheme="majorBidi" w:cstheme="majorBidi"/>
          <w:b/>
          <w:bCs/>
        </w:rPr>
        <w:t>Policy Version Register</w:t>
      </w:r>
      <w:r w:rsidRPr="00900944">
        <w:rPr>
          <w:rFonts w:asciiTheme="majorBidi" w:hAnsiTheme="majorBidi" w:cstheme="majorBidi"/>
        </w:rPr>
        <w:t>.</w:t>
      </w: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F5EDE" w:rsidRPr="00900944" w:rsidRDefault="000F5EDE" w:rsidP="000F5EDE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14. Related Documents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Data Protection and Privacy Policy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LMS Policy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Online Teaching and Assessment Guidelines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Code of Conduct and Ethics Policy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Business Continuity and Disaster Recovery Plan</w:t>
      </w:r>
    </w:p>
    <w:p w:rsidR="000F5EDE" w:rsidRPr="00900944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Data Management Guidelines</w:t>
      </w:r>
    </w:p>
    <w:p w:rsidR="000F5EDE" w:rsidRDefault="000F5EDE" w:rsidP="000F5EDE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QAAC/SLQF Standards on ICT Systems</w:t>
      </w:r>
    </w:p>
    <w:p w:rsidR="00AC76E0" w:rsidRPr="000F5EDE" w:rsidRDefault="000F5EDE" w:rsidP="000F5EDE"/>
    <w:sectPr w:rsidR="00AC76E0" w:rsidRPr="000F5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04D"/>
    <w:multiLevelType w:val="multilevel"/>
    <w:tmpl w:val="AEF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73F1D"/>
    <w:multiLevelType w:val="multilevel"/>
    <w:tmpl w:val="E646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F0DD4"/>
    <w:multiLevelType w:val="multilevel"/>
    <w:tmpl w:val="5FA6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17977"/>
    <w:multiLevelType w:val="multilevel"/>
    <w:tmpl w:val="144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D4145"/>
    <w:multiLevelType w:val="multilevel"/>
    <w:tmpl w:val="7CD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D3C42"/>
    <w:multiLevelType w:val="multilevel"/>
    <w:tmpl w:val="FD02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967C1"/>
    <w:multiLevelType w:val="multilevel"/>
    <w:tmpl w:val="3A4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16359"/>
    <w:multiLevelType w:val="multilevel"/>
    <w:tmpl w:val="582A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1557E"/>
    <w:multiLevelType w:val="multilevel"/>
    <w:tmpl w:val="30D2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065A1"/>
    <w:multiLevelType w:val="multilevel"/>
    <w:tmpl w:val="32E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E0D7B"/>
    <w:multiLevelType w:val="multilevel"/>
    <w:tmpl w:val="CC7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F779E"/>
    <w:multiLevelType w:val="multilevel"/>
    <w:tmpl w:val="7E4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94F10"/>
    <w:multiLevelType w:val="multilevel"/>
    <w:tmpl w:val="9F6E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A3E2A"/>
    <w:multiLevelType w:val="multilevel"/>
    <w:tmpl w:val="180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E5646"/>
    <w:multiLevelType w:val="multilevel"/>
    <w:tmpl w:val="0E78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34F5E"/>
    <w:multiLevelType w:val="multilevel"/>
    <w:tmpl w:val="FCAE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F5E17"/>
    <w:multiLevelType w:val="multilevel"/>
    <w:tmpl w:val="E902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E0B0F"/>
    <w:multiLevelType w:val="multilevel"/>
    <w:tmpl w:val="DA6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C41A5F"/>
    <w:multiLevelType w:val="multilevel"/>
    <w:tmpl w:val="D3E0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808E1"/>
    <w:multiLevelType w:val="multilevel"/>
    <w:tmpl w:val="C31E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05EB7"/>
    <w:multiLevelType w:val="multilevel"/>
    <w:tmpl w:val="BE6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2"/>
  </w:num>
  <w:num w:numId="5">
    <w:abstractNumId w:val="15"/>
  </w:num>
  <w:num w:numId="6">
    <w:abstractNumId w:val="11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4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2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0F5EDE"/>
    <w:rsid w:val="001B3D42"/>
    <w:rsid w:val="002B6638"/>
    <w:rsid w:val="003843A1"/>
    <w:rsid w:val="003D5D51"/>
    <w:rsid w:val="00463CFF"/>
    <w:rsid w:val="004D1AD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2025-12-15T08:54:00Z</dcterms:created>
  <dcterms:modified xsi:type="dcterms:W3CDTF">2025-12-15T08:54:00Z</dcterms:modified>
</cp:coreProperties>
</file>