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E19" w:rsidRPr="00654124" w:rsidRDefault="00477E19" w:rsidP="00477E19">
      <w:pPr>
        <w:spacing w:after="0" w:line="360" w:lineRule="auto"/>
        <w:jc w:val="both"/>
        <w:rPr>
          <w:rFonts w:asciiTheme="majorBidi" w:hAnsiTheme="majorBidi" w:cstheme="majorBidi"/>
          <w:b/>
          <w:bCs/>
        </w:rPr>
      </w:pPr>
      <w:proofErr w:type="spellStart"/>
      <w:r w:rsidRPr="00654124">
        <w:rPr>
          <w:rFonts w:asciiTheme="majorBidi" w:hAnsiTheme="majorBidi" w:cstheme="majorBidi"/>
          <w:b/>
          <w:bCs/>
        </w:rPr>
        <w:t>Infortec</w:t>
      </w:r>
      <w:proofErr w:type="spellEnd"/>
      <w:r w:rsidRPr="00654124">
        <w:rPr>
          <w:rFonts w:asciiTheme="majorBidi" w:hAnsiTheme="majorBidi" w:cstheme="majorBidi"/>
          <w:b/>
          <w:bCs/>
        </w:rPr>
        <w:t xml:space="preserve"> International Technologies (University Division)</w:t>
      </w:r>
    </w:p>
    <w:p w:rsidR="00477E19" w:rsidRPr="00654124" w:rsidRDefault="00477E19" w:rsidP="00477E19">
      <w:pPr>
        <w:spacing w:after="0" w:line="360" w:lineRule="auto"/>
        <w:jc w:val="both"/>
        <w:rPr>
          <w:rFonts w:asciiTheme="majorBidi" w:hAnsiTheme="majorBidi" w:cstheme="majorBidi"/>
          <w:b/>
          <w:bCs/>
        </w:rPr>
      </w:pPr>
      <w:bookmarkStart w:id="0" w:name="_GoBack"/>
      <w:r w:rsidRPr="00654124">
        <w:rPr>
          <w:rFonts w:asciiTheme="majorBidi" w:hAnsiTheme="majorBidi" w:cstheme="majorBidi"/>
          <w:b/>
          <w:bCs/>
        </w:rPr>
        <w:t>Equal Opportunity, Diversity, and Inclusion (EODI) Policy</w:t>
      </w:r>
    </w:p>
    <w:p w:rsidR="00477E19" w:rsidRPr="00654124" w:rsidRDefault="00477E19" w:rsidP="00477E19">
      <w:pPr>
        <w:spacing w:after="0" w:line="360" w:lineRule="auto"/>
        <w:jc w:val="both"/>
        <w:rPr>
          <w:rFonts w:asciiTheme="majorBidi" w:hAnsiTheme="majorBidi" w:cstheme="majorBidi"/>
        </w:rPr>
      </w:pPr>
    </w:p>
    <w:bookmarkEnd w:id="0"/>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b/>
          <w:bCs/>
        </w:rPr>
        <w:t xml:space="preserve">Policy Number: </w:t>
      </w:r>
      <w:proofErr w:type="spellStart"/>
      <w:r w:rsidRPr="00654124">
        <w:rPr>
          <w:rFonts w:asciiTheme="majorBidi" w:hAnsiTheme="majorBidi" w:cstheme="majorBidi"/>
        </w:rPr>
        <w:t>Infortec</w:t>
      </w:r>
      <w:proofErr w:type="spellEnd"/>
      <w:r w:rsidRPr="00654124">
        <w:rPr>
          <w:rFonts w:asciiTheme="majorBidi" w:hAnsiTheme="majorBidi" w:cstheme="majorBidi"/>
        </w:rPr>
        <w:t>/IQAC/P/026/11/25</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477E19" w:rsidRPr="00654124" w:rsidTr="00D55684">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Version</w:t>
            </w:r>
          </w:p>
        </w:tc>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Date</w:t>
            </w:r>
          </w:p>
        </w:tc>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Prepared by</w:t>
            </w:r>
          </w:p>
        </w:tc>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Approved by</w:t>
            </w:r>
          </w:p>
        </w:tc>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Next Review</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1.0</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[Month Year]</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Internal Quality Assurance Cell (IQAC)</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Governing Board</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[Month Year + 3]</w:t>
            </w:r>
          </w:p>
        </w:tc>
      </w:tr>
    </w:tbl>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 Preamble</w:t>
      </w:r>
    </w:p>
    <w:p w:rsidR="00477E19" w:rsidRPr="00654124" w:rsidRDefault="00477E19" w:rsidP="00477E19">
      <w:pPr>
        <w:spacing w:after="0" w:line="360" w:lineRule="auto"/>
        <w:jc w:val="both"/>
        <w:rPr>
          <w:rFonts w:asciiTheme="majorBidi" w:hAnsiTheme="majorBidi" w:cstheme="majorBidi"/>
        </w:rPr>
      </w:pPr>
      <w:proofErr w:type="spellStart"/>
      <w:r w:rsidRPr="00654124">
        <w:rPr>
          <w:rFonts w:asciiTheme="majorBidi" w:hAnsiTheme="majorBidi" w:cstheme="majorBidi"/>
        </w:rPr>
        <w:t>Infortec</w:t>
      </w:r>
      <w:proofErr w:type="spellEnd"/>
      <w:r w:rsidRPr="00654124">
        <w:rPr>
          <w:rFonts w:asciiTheme="majorBidi" w:hAnsiTheme="majorBidi" w:cstheme="majorBidi"/>
        </w:rPr>
        <w:t xml:space="preserve"> International Technologies (University Division) is committed to cultivating a learning and working environment where every individual is treated with fairness, dignity, and respect.</w:t>
      </w:r>
      <w:r w:rsidRPr="00654124">
        <w:rPr>
          <w:rFonts w:asciiTheme="majorBidi" w:hAnsiTheme="majorBidi" w:cstheme="majorBidi"/>
        </w:rPr>
        <w:br/>
        <w:t>Diversity enriches intellectual growth, innovation, and social cohesion, while inclusivity ensures that all members of the university community have equitable access to opportunities and resources.</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This policy sets out the institution’s commitment to equal opportunity, diversity, and inclusion, in accordance with QAAC quality frameworks, national legislation, and international best practices such as the UN Sustainable Development Goals (SDG 4 &amp; SDG 5).</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2. Policy Statement</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The University Division upholds an environment free from discrimination, bias, harassment, and exclusion.</w:t>
      </w:r>
      <w:r>
        <w:rPr>
          <w:rFonts w:asciiTheme="majorBidi" w:hAnsiTheme="majorBidi" w:cstheme="majorBidi"/>
        </w:rPr>
        <w:t xml:space="preserve"> </w:t>
      </w:r>
      <w:r w:rsidRPr="00654124">
        <w:rPr>
          <w:rFonts w:asciiTheme="majorBidi" w:hAnsiTheme="majorBidi" w:cstheme="majorBidi"/>
        </w:rPr>
        <w:t>All stakeholders</w:t>
      </w:r>
      <w:r>
        <w:rPr>
          <w:rFonts w:asciiTheme="majorBidi" w:hAnsiTheme="majorBidi" w:cstheme="majorBidi"/>
        </w:rPr>
        <w:t xml:space="preserve">, </w:t>
      </w:r>
      <w:r w:rsidRPr="00654124">
        <w:rPr>
          <w:rFonts w:asciiTheme="majorBidi" w:hAnsiTheme="majorBidi" w:cstheme="majorBidi"/>
        </w:rPr>
        <w:t>students, academic staff, administrative staff, and external partners</w:t>
      </w:r>
      <w:r>
        <w:rPr>
          <w:rFonts w:asciiTheme="majorBidi" w:hAnsiTheme="majorBidi" w:cstheme="majorBidi"/>
        </w:rPr>
        <w:t xml:space="preserve"> </w:t>
      </w:r>
      <w:r w:rsidRPr="00654124">
        <w:rPr>
          <w:rFonts w:asciiTheme="majorBidi" w:hAnsiTheme="majorBidi" w:cstheme="majorBidi"/>
        </w:rPr>
        <w:t>must actively support inclusion, fairness, equality of opportunity, and respect for differences.</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The institution encourages practices that enhance representation, accessibility, and participation for all groups, particularly marginalized or underrepresented populations.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3. Objectives</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To promote equal opportunities for all members of the university community.</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To prevent discrimination based on race, ethnicity, religion, gender, age, disability, economic status, sexual orientation, nationality, or any other protected characteristic.</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To encourage diversity in admissions, recruitment, leadership roles, and academic participation.</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lastRenderedPageBreak/>
        <w:t>To foster a safe, inclusive, and supportive environment for learning and work.</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 xml:space="preserve">To ensure inclusive access to educational </w:t>
      </w:r>
      <w:proofErr w:type="spellStart"/>
      <w:r w:rsidRPr="00654124">
        <w:rPr>
          <w:rFonts w:asciiTheme="majorBidi" w:hAnsiTheme="majorBidi" w:cstheme="majorBidi"/>
        </w:rPr>
        <w:t>programmes</w:t>
      </w:r>
      <w:proofErr w:type="spellEnd"/>
      <w:r w:rsidRPr="00654124">
        <w:rPr>
          <w:rFonts w:asciiTheme="majorBidi" w:hAnsiTheme="majorBidi" w:cstheme="majorBidi"/>
        </w:rPr>
        <w:t>, facilities, ICT, and student support services.</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To integrate equity and inclusion principles into policies, curriculum, and campus culture.</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To provide mechanisms for addressing discrimination and inequity.</w:t>
      </w:r>
    </w:p>
    <w:p w:rsidR="00477E19" w:rsidRPr="00654124" w:rsidRDefault="00477E19" w:rsidP="00477E19">
      <w:pPr>
        <w:numPr>
          <w:ilvl w:val="0"/>
          <w:numId w:val="27"/>
        </w:numPr>
        <w:spacing w:after="0" w:line="360" w:lineRule="auto"/>
        <w:jc w:val="both"/>
        <w:rPr>
          <w:rFonts w:asciiTheme="majorBidi" w:hAnsiTheme="majorBidi" w:cstheme="majorBidi"/>
        </w:rPr>
      </w:pPr>
      <w:r w:rsidRPr="00654124">
        <w:rPr>
          <w:rFonts w:asciiTheme="majorBidi" w:hAnsiTheme="majorBidi" w:cstheme="majorBidi"/>
        </w:rPr>
        <w:t>To align practices with QAAC quality assurance standards and institutional values.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4. Scope and Applicability</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This policy applies to:</w:t>
      </w:r>
    </w:p>
    <w:p w:rsidR="00477E19" w:rsidRPr="00654124" w:rsidRDefault="00477E19" w:rsidP="00477E19">
      <w:pPr>
        <w:numPr>
          <w:ilvl w:val="0"/>
          <w:numId w:val="28"/>
        </w:numPr>
        <w:spacing w:after="0" w:line="360" w:lineRule="auto"/>
        <w:jc w:val="both"/>
        <w:rPr>
          <w:rFonts w:asciiTheme="majorBidi" w:hAnsiTheme="majorBidi" w:cstheme="majorBidi"/>
        </w:rPr>
      </w:pPr>
      <w:r w:rsidRPr="00654124">
        <w:rPr>
          <w:rFonts w:asciiTheme="majorBidi" w:hAnsiTheme="majorBidi" w:cstheme="majorBidi"/>
        </w:rPr>
        <w:t>All students (full-time, part-time, online, international);</w:t>
      </w:r>
    </w:p>
    <w:p w:rsidR="00477E19" w:rsidRPr="00654124" w:rsidRDefault="00477E19" w:rsidP="00477E19">
      <w:pPr>
        <w:numPr>
          <w:ilvl w:val="0"/>
          <w:numId w:val="28"/>
        </w:numPr>
        <w:spacing w:after="0" w:line="360" w:lineRule="auto"/>
        <w:jc w:val="both"/>
        <w:rPr>
          <w:rFonts w:asciiTheme="majorBidi" w:hAnsiTheme="majorBidi" w:cstheme="majorBidi"/>
        </w:rPr>
      </w:pPr>
      <w:r w:rsidRPr="00654124">
        <w:rPr>
          <w:rFonts w:asciiTheme="majorBidi" w:hAnsiTheme="majorBidi" w:cstheme="majorBidi"/>
        </w:rPr>
        <w:t>All academic, administrative, and support staff;</w:t>
      </w:r>
    </w:p>
    <w:p w:rsidR="00477E19" w:rsidRPr="00654124" w:rsidRDefault="00477E19" w:rsidP="00477E19">
      <w:pPr>
        <w:numPr>
          <w:ilvl w:val="0"/>
          <w:numId w:val="28"/>
        </w:numPr>
        <w:spacing w:after="0" w:line="360" w:lineRule="auto"/>
        <w:jc w:val="both"/>
        <w:rPr>
          <w:rFonts w:asciiTheme="majorBidi" w:hAnsiTheme="majorBidi" w:cstheme="majorBidi"/>
        </w:rPr>
      </w:pPr>
      <w:r w:rsidRPr="00654124">
        <w:rPr>
          <w:rFonts w:asciiTheme="majorBidi" w:hAnsiTheme="majorBidi" w:cstheme="majorBidi"/>
        </w:rPr>
        <w:t>All applicants, visitors, and contractors;</w:t>
      </w:r>
    </w:p>
    <w:p w:rsidR="00477E19" w:rsidRPr="00654124" w:rsidRDefault="00477E19" w:rsidP="00477E19">
      <w:pPr>
        <w:numPr>
          <w:ilvl w:val="0"/>
          <w:numId w:val="28"/>
        </w:numPr>
        <w:spacing w:after="0" w:line="360" w:lineRule="auto"/>
        <w:jc w:val="both"/>
        <w:rPr>
          <w:rFonts w:asciiTheme="majorBidi" w:hAnsiTheme="majorBidi" w:cstheme="majorBidi"/>
        </w:rPr>
      </w:pPr>
      <w:r w:rsidRPr="00654124">
        <w:rPr>
          <w:rFonts w:asciiTheme="majorBidi" w:hAnsiTheme="majorBidi" w:cstheme="majorBidi"/>
        </w:rPr>
        <w:t xml:space="preserve">All academic </w:t>
      </w:r>
      <w:proofErr w:type="spellStart"/>
      <w:r w:rsidRPr="00654124">
        <w:rPr>
          <w:rFonts w:asciiTheme="majorBidi" w:hAnsiTheme="majorBidi" w:cstheme="majorBidi"/>
        </w:rPr>
        <w:t>programmes</w:t>
      </w:r>
      <w:proofErr w:type="spellEnd"/>
      <w:r w:rsidRPr="00654124">
        <w:rPr>
          <w:rFonts w:asciiTheme="majorBidi" w:hAnsiTheme="majorBidi" w:cstheme="majorBidi"/>
        </w:rPr>
        <w:t>, activities, and institutional services;</w:t>
      </w:r>
    </w:p>
    <w:p w:rsidR="00477E19" w:rsidRPr="00654124" w:rsidRDefault="00477E19" w:rsidP="00477E19">
      <w:pPr>
        <w:numPr>
          <w:ilvl w:val="0"/>
          <w:numId w:val="28"/>
        </w:numPr>
        <w:spacing w:after="0" w:line="360" w:lineRule="auto"/>
        <w:jc w:val="both"/>
        <w:rPr>
          <w:rFonts w:asciiTheme="majorBidi" w:hAnsiTheme="majorBidi" w:cstheme="majorBidi"/>
        </w:rPr>
      </w:pPr>
      <w:r w:rsidRPr="00654124">
        <w:rPr>
          <w:rFonts w:asciiTheme="majorBidi" w:hAnsiTheme="majorBidi" w:cstheme="majorBidi"/>
        </w:rPr>
        <w:t>All institutional communications, recruitment, and admissions processes.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5. Guiding Principles</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Equity – Ensuring fair access to opportunities and resources.</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Diversity – Celebrating differences in identities, abilities, and backgrounds.</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Inclusion – Active engagement and equal participation of all community members.</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Accessibility – Removing physical, digital, and systemic barriers.</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Non-Discrimination – Zero tolerance for prejudice, bias, or exclusion.</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Confidentiality – Sensitive information treated with respect and discretion.</w:t>
      </w:r>
    </w:p>
    <w:p w:rsidR="00477E19" w:rsidRPr="00654124" w:rsidRDefault="00477E19" w:rsidP="00477E19">
      <w:pPr>
        <w:numPr>
          <w:ilvl w:val="0"/>
          <w:numId w:val="29"/>
        </w:numPr>
        <w:spacing w:after="0" w:line="360" w:lineRule="auto"/>
        <w:jc w:val="both"/>
        <w:rPr>
          <w:rFonts w:asciiTheme="majorBidi" w:hAnsiTheme="majorBidi" w:cstheme="majorBidi"/>
        </w:rPr>
      </w:pPr>
      <w:r w:rsidRPr="00654124">
        <w:rPr>
          <w:rFonts w:asciiTheme="majorBidi" w:hAnsiTheme="majorBidi" w:cstheme="majorBidi"/>
        </w:rPr>
        <w:t>Accountability – All departments and units responsible for promoting inclusion.</w:t>
      </w:r>
    </w:p>
    <w:p w:rsidR="00477E19" w:rsidRDefault="00477E19" w:rsidP="00477E19">
      <w:pPr>
        <w:spacing w:after="0" w:line="360" w:lineRule="auto"/>
        <w:jc w:val="both"/>
        <w:rPr>
          <w:rFonts w:asciiTheme="majorBidi" w:hAnsiTheme="majorBidi" w:cstheme="majorBidi"/>
        </w:rPr>
      </w:pPr>
    </w:p>
    <w:p w:rsidR="00477E19" w:rsidRDefault="00477E19" w:rsidP="00477E19">
      <w:pPr>
        <w:spacing w:after="0" w:line="360" w:lineRule="auto"/>
        <w:jc w:val="both"/>
        <w:rPr>
          <w:rFonts w:asciiTheme="majorBidi" w:hAnsiTheme="majorBidi" w:cstheme="majorBidi"/>
        </w:rPr>
      </w:pPr>
    </w:p>
    <w:p w:rsidR="00477E19" w:rsidRDefault="00477E19" w:rsidP="00477E19">
      <w:pPr>
        <w:spacing w:after="0" w:line="360" w:lineRule="auto"/>
        <w:jc w:val="both"/>
        <w:rPr>
          <w:rFonts w:asciiTheme="majorBidi" w:hAnsiTheme="majorBidi" w:cstheme="majorBidi"/>
        </w:rPr>
      </w:pPr>
    </w:p>
    <w:p w:rsidR="00477E19"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6. Equality and Non-Discrimination Framework</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6.1 Protected Characteristics</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No individual may be discriminated against on the basis of:</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Race, ethnicity, nationality</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Gender, gender identity, or expression</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lastRenderedPageBreak/>
        <w:t>Religion or belief</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Disability or chronic illness</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Age</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Sexual orientation</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Socioeconomic background</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Marital or family status</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Political opinion (within lawful boundaries)</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Language</w:t>
      </w:r>
    </w:p>
    <w:p w:rsidR="00477E19" w:rsidRPr="00654124" w:rsidRDefault="00477E19" w:rsidP="00477E19">
      <w:pPr>
        <w:numPr>
          <w:ilvl w:val="0"/>
          <w:numId w:val="30"/>
        </w:numPr>
        <w:spacing w:after="0" w:line="360" w:lineRule="auto"/>
        <w:jc w:val="both"/>
        <w:rPr>
          <w:rFonts w:asciiTheme="majorBidi" w:hAnsiTheme="majorBidi" w:cstheme="majorBidi"/>
        </w:rPr>
      </w:pPr>
      <w:r w:rsidRPr="00654124">
        <w:rPr>
          <w:rFonts w:asciiTheme="majorBidi" w:hAnsiTheme="majorBidi" w:cstheme="majorBidi"/>
        </w:rPr>
        <w:t>Any other characteristic protected by law</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6.2 Forms of Discrimination Prohibited</w:t>
      </w:r>
    </w:p>
    <w:p w:rsidR="00477E19" w:rsidRPr="00654124" w:rsidRDefault="00477E19" w:rsidP="00477E19">
      <w:pPr>
        <w:numPr>
          <w:ilvl w:val="0"/>
          <w:numId w:val="31"/>
        </w:numPr>
        <w:spacing w:after="0" w:line="360" w:lineRule="auto"/>
        <w:jc w:val="both"/>
        <w:rPr>
          <w:rFonts w:asciiTheme="majorBidi" w:hAnsiTheme="majorBidi" w:cstheme="majorBidi"/>
        </w:rPr>
      </w:pPr>
      <w:r w:rsidRPr="00654124">
        <w:rPr>
          <w:rFonts w:asciiTheme="majorBidi" w:hAnsiTheme="majorBidi" w:cstheme="majorBidi"/>
        </w:rPr>
        <w:t>Direct discrimination</w:t>
      </w:r>
    </w:p>
    <w:p w:rsidR="00477E19" w:rsidRPr="00654124" w:rsidRDefault="00477E19" w:rsidP="00477E19">
      <w:pPr>
        <w:numPr>
          <w:ilvl w:val="0"/>
          <w:numId w:val="31"/>
        </w:numPr>
        <w:spacing w:after="0" w:line="360" w:lineRule="auto"/>
        <w:jc w:val="both"/>
        <w:rPr>
          <w:rFonts w:asciiTheme="majorBidi" w:hAnsiTheme="majorBidi" w:cstheme="majorBidi"/>
        </w:rPr>
      </w:pPr>
      <w:r w:rsidRPr="00654124">
        <w:rPr>
          <w:rFonts w:asciiTheme="majorBidi" w:hAnsiTheme="majorBidi" w:cstheme="majorBidi"/>
        </w:rPr>
        <w:t>Indirect discrimination</w:t>
      </w:r>
    </w:p>
    <w:p w:rsidR="00477E19" w:rsidRPr="00654124" w:rsidRDefault="00477E19" w:rsidP="00477E19">
      <w:pPr>
        <w:numPr>
          <w:ilvl w:val="0"/>
          <w:numId w:val="31"/>
        </w:numPr>
        <w:spacing w:after="0" w:line="360" w:lineRule="auto"/>
        <w:jc w:val="both"/>
        <w:rPr>
          <w:rFonts w:asciiTheme="majorBidi" w:hAnsiTheme="majorBidi" w:cstheme="majorBidi"/>
        </w:rPr>
      </w:pPr>
      <w:r w:rsidRPr="00654124">
        <w:rPr>
          <w:rFonts w:asciiTheme="majorBidi" w:hAnsiTheme="majorBidi" w:cstheme="majorBidi"/>
        </w:rPr>
        <w:t>Harassment</w:t>
      </w:r>
    </w:p>
    <w:p w:rsidR="00477E19" w:rsidRPr="00654124" w:rsidRDefault="00477E19" w:rsidP="00477E19">
      <w:pPr>
        <w:numPr>
          <w:ilvl w:val="0"/>
          <w:numId w:val="31"/>
        </w:numPr>
        <w:spacing w:after="0" w:line="360" w:lineRule="auto"/>
        <w:jc w:val="both"/>
        <w:rPr>
          <w:rFonts w:asciiTheme="majorBidi" w:hAnsiTheme="majorBidi" w:cstheme="majorBidi"/>
        </w:rPr>
      </w:pPr>
      <w:proofErr w:type="spellStart"/>
      <w:r w:rsidRPr="00654124">
        <w:rPr>
          <w:rFonts w:asciiTheme="majorBidi" w:hAnsiTheme="majorBidi" w:cstheme="majorBidi"/>
        </w:rPr>
        <w:t>Victimisation</w:t>
      </w:r>
      <w:proofErr w:type="spellEnd"/>
    </w:p>
    <w:p w:rsidR="00477E19" w:rsidRPr="00654124" w:rsidRDefault="00477E19" w:rsidP="00477E19">
      <w:pPr>
        <w:numPr>
          <w:ilvl w:val="0"/>
          <w:numId w:val="31"/>
        </w:numPr>
        <w:spacing w:after="0" w:line="360" w:lineRule="auto"/>
        <w:jc w:val="both"/>
        <w:rPr>
          <w:rFonts w:asciiTheme="majorBidi" w:hAnsiTheme="majorBidi" w:cstheme="majorBidi"/>
        </w:rPr>
      </w:pPr>
      <w:r w:rsidRPr="00654124">
        <w:rPr>
          <w:rFonts w:asciiTheme="majorBidi" w:hAnsiTheme="majorBidi" w:cstheme="majorBidi"/>
        </w:rPr>
        <w:t xml:space="preserve">Hate speech or hate-motivated </w:t>
      </w:r>
      <w:proofErr w:type="spellStart"/>
      <w:r w:rsidRPr="00654124">
        <w:rPr>
          <w:rFonts w:asciiTheme="majorBidi" w:hAnsiTheme="majorBidi" w:cstheme="majorBidi"/>
        </w:rPr>
        <w:t>behaviour</w:t>
      </w:r>
      <w:proofErr w:type="spellEnd"/>
    </w:p>
    <w:p w:rsidR="00477E19" w:rsidRPr="00654124" w:rsidRDefault="00477E19" w:rsidP="00477E19">
      <w:pPr>
        <w:numPr>
          <w:ilvl w:val="0"/>
          <w:numId w:val="31"/>
        </w:numPr>
        <w:spacing w:after="0" w:line="360" w:lineRule="auto"/>
        <w:jc w:val="both"/>
        <w:rPr>
          <w:rFonts w:asciiTheme="majorBidi" w:hAnsiTheme="majorBidi" w:cstheme="majorBidi"/>
        </w:rPr>
      </w:pPr>
      <w:r w:rsidRPr="00654124">
        <w:rPr>
          <w:rFonts w:asciiTheme="majorBidi" w:hAnsiTheme="majorBidi" w:cstheme="majorBidi"/>
        </w:rPr>
        <w:t>Exclusion or segregation</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7. Inclusive Education and Support</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7.1 Inclusive Teaching and Learning</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The University Division encourages:</w:t>
      </w:r>
    </w:p>
    <w:p w:rsidR="00477E19" w:rsidRPr="00654124" w:rsidRDefault="00477E19" w:rsidP="00477E19">
      <w:pPr>
        <w:numPr>
          <w:ilvl w:val="0"/>
          <w:numId w:val="32"/>
        </w:numPr>
        <w:spacing w:after="0" w:line="360" w:lineRule="auto"/>
        <w:jc w:val="both"/>
        <w:rPr>
          <w:rFonts w:asciiTheme="majorBidi" w:hAnsiTheme="majorBidi" w:cstheme="majorBidi"/>
        </w:rPr>
      </w:pPr>
      <w:r w:rsidRPr="00654124">
        <w:rPr>
          <w:rFonts w:asciiTheme="majorBidi" w:hAnsiTheme="majorBidi" w:cstheme="majorBidi"/>
        </w:rPr>
        <w:t>Universal Design for Learning (UDL) principles;</w:t>
      </w:r>
    </w:p>
    <w:p w:rsidR="00477E19" w:rsidRPr="00654124" w:rsidRDefault="00477E19" w:rsidP="00477E19">
      <w:pPr>
        <w:numPr>
          <w:ilvl w:val="0"/>
          <w:numId w:val="32"/>
        </w:numPr>
        <w:spacing w:after="0" w:line="360" w:lineRule="auto"/>
        <w:jc w:val="both"/>
        <w:rPr>
          <w:rFonts w:asciiTheme="majorBidi" w:hAnsiTheme="majorBidi" w:cstheme="majorBidi"/>
        </w:rPr>
      </w:pPr>
      <w:r w:rsidRPr="00654124">
        <w:rPr>
          <w:rFonts w:asciiTheme="majorBidi" w:hAnsiTheme="majorBidi" w:cstheme="majorBidi"/>
        </w:rPr>
        <w:t>Accessible learning materials and technology;</w:t>
      </w:r>
    </w:p>
    <w:p w:rsidR="00477E19" w:rsidRPr="00654124" w:rsidRDefault="00477E19" w:rsidP="00477E19">
      <w:pPr>
        <w:numPr>
          <w:ilvl w:val="0"/>
          <w:numId w:val="32"/>
        </w:numPr>
        <w:spacing w:after="0" w:line="360" w:lineRule="auto"/>
        <w:jc w:val="both"/>
        <w:rPr>
          <w:rFonts w:asciiTheme="majorBidi" w:hAnsiTheme="majorBidi" w:cstheme="majorBidi"/>
        </w:rPr>
      </w:pPr>
      <w:r w:rsidRPr="00654124">
        <w:rPr>
          <w:rFonts w:asciiTheme="majorBidi" w:hAnsiTheme="majorBidi" w:cstheme="majorBidi"/>
        </w:rPr>
        <w:t>Reasonable accommodations for students with disabilities;</w:t>
      </w:r>
    </w:p>
    <w:p w:rsidR="00477E19" w:rsidRPr="00654124" w:rsidRDefault="00477E19" w:rsidP="00477E19">
      <w:pPr>
        <w:numPr>
          <w:ilvl w:val="0"/>
          <w:numId w:val="32"/>
        </w:numPr>
        <w:spacing w:after="0" w:line="360" w:lineRule="auto"/>
        <w:jc w:val="both"/>
        <w:rPr>
          <w:rFonts w:asciiTheme="majorBidi" w:hAnsiTheme="majorBidi" w:cstheme="majorBidi"/>
        </w:rPr>
      </w:pPr>
      <w:r w:rsidRPr="00654124">
        <w:rPr>
          <w:rFonts w:asciiTheme="majorBidi" w:hAnsiTheme="majorBidi" w:cstheme="majorBidi"/>
        </w:rPr>
        <w:t>Diverse examples and representation within course content.</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7.2 Academic and Non-Academic Support</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Support includes:</w:t>
      </w:r>
    </w:p>
    <w:p w:rsidR="00477E19" w:rsidRPr="00654124" w:rsidRDefault="00477E19" w:rsidP="00477E19">
      <w:pPr>
        <w:numPr>
          <w:ilvl w:val="0"/>
          <w:numId w:val="33"/>
        </w:numPr>
        <w:spacing w:after="0" w:line="360" w:lineRule="auto"/>
        <w:jc w:val="both"/>
        <w:rPr>
          <w:rFonts w:asciiTheme="majorBidi" w:hAnsiTheme="majorBidi" w:cstheme="majorBidi"/>
        </w:rPr>
      </w:pPr>
      <w:r w:rsidRPr="00654124">
        <w:rPr>
          <w:rFonts w:asciiTheme="majorBidi" w:hAnsiTheme="majorBidi" w:cstheme="majorBidi"/>
        </w:rPr>
        <w:t>Counselling services;</w:t>
      </w:r>
    </w:p>
    <w:p w:rsidR="00477E19" w:rsidRPr="00654124" w:rsidRDefault="00477E19" w:rsidP="00477E19">
      <w:pPr>
        <w:numPr>
          <w:ilvl w:val="0"/>
          <w:numId w:val="33"/>
        </w:numPr>
        <w:spacing w:after="0" w:line="360" w:lineRule="auto"/>
        <w:jc w:val="both"/>
        <w:rPr>
          <w:rFonts w:asciiTheme="majorBidi" w:hAnsiTheme="majorBidi" w:cstheme="majorBidi"/>
        </w:rPr>
      </w:pPr>
      <w:r w:rsidRPr="00654124">
        <w:rPr>
          <w:rFonts w:asciiTheme="majorBidi" w:hAnsiTheme="majorBidi" w:cstheme="majorBidi"/>
        </w:rPr>
        <w:t>Accessibility services for differently-abled students;</w:t>
      </w:r>
    </w:p>
    <w:p w:rsidR="00477E19" w:rsidRPr="00654124" w:rsidRDefault="00477E19" w:rsidP="00477E19">
      <w:pPr>
        <w:numPr>
          <w:ilvl w:val="0"/>
          <w:numId w:val="33"/>
        </w:numPr>
        <w:spacing w:after="0" w:line="360" w:lineRule="auto"/>
        <w:jc w:val="both"/>
        <w:rPr>
          <w:rFonts w:asciiTheme="majorBidi" w:hAnsiTheme="majorBidi" w:cstheme="majorBidi"/>
        </w:rPr>
      </w:pPr>
      <w:r w:rsidRPr="00654124">
        <w:rPr>
          <w:rFonts w:asciiTheme="majorBidi" w:hAnsiTheme="majorBidi" w:cstheme="majorBidi"/>
        </w:rPr>
        <w:t>Financial assistance schemes for disadvantaged groups;</w:t>
      </w:r>
    </w:p>
    <w:p w:rsidR="00477E19" w:rsidRPr="00654124" w:rsidRDefault="00477E19" w:rsidP="00477E19">
      <w:pPr>
        <w:numPr>
          <w:ilvl w:val="0"/>
          <w:numId w:val="33"/>
        </w:numPr>
        <w:spacing w:after="0" w:line="360" w:lineRule="auto"/>
        <w:jc w:val="both"/>
        <w:rPr>
          <w:rFonts w:asciiTheme="majorBidi" w:hAnsiTheme="majorBidi" w:cstheme="majorBidi"/>
        </w:rPr>
      </w:pPr>
      <w:r w:rsidRPr="00654124">
        <w:rPr>
          <w:rFonts w:asciiTheme="majorBidi" w:hAnsiTheme="majorBidi" w:cstheme="majorBidi"/>
        </w:rPr>
        <w:t>Language and learning support programs.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8. Accessible Campus and Facilities</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8.1 Physical Accessibility</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Campuses must include:</w:t>
      </w:r>
    </w:p>
    <w:p w:rsidR="00477E19" w:rsidRPr="00654124" w:rsidRDefault="00477E19" w:rsidP="00477E19">
      <w:pPr>
        <w:numPr>
          <w:ilvl w:val="0"/>
          <w:numId w:val="34"/>
        </w:numPr>
        <w:spacing w:after="0" w:line="360" w:lineRule="auto"/>
        <w:jc w:val="both"/>
        <w:rPr>
          <w:rFonts w:asciiTheme="majorBidi" w:hAnsiTheme="majorBidi" w:cstheme="majorBidi"/>
        </w:rPr>
      </w:pPr>
      <w:r w:rsidRPr="00654124">
        <w:rPr>
          <w:rFonts w:asciiTheme="majorBidi" w:hAnsiTheme="majorBidi" w:cstheme="majorBidi"/>
        </w:rPr>
        <w:lastRenderedPageBreak/>
        <w:t>Ramps, handrails, accessible washrooms;</w:t>
      </w:r>
    </w:p>
    <w:p w:rsidR="00477E19" w:rsidRPr="00654124" w:rsidRDefault="00477E19" w:rsidP="00477E19">
      <w:pPr>
        <w:numPr>
          <w:ilvl w:val="0"/>
          <w:numId w:val="34"/>
        </w:numPr>
        <w:spacing w:after="0" w:line="360" w:lineRule="auto"/>
        <w:jc w:val="both"/>
        <w:rPr>
          <w:rFonts w:asciiTheme="majorBidi" w:hAnsiTheme="majorBidi" w:cstheme="majorBidi"/>
        </w:rPr>
      </w:pPr>
      <w:r w:rsidRPr="00654124">
        <w:rPr>
          <w:rFonts w:asciiTheme="majorBidi" w:hAnsiTheme="majorBidi" w:cstheme="majorBidi"/>
        </w:rPr>
        <w:t>Elevators where possible;</w:t>
      </w:r>
    </w:p>
    <w:p w:rsidR="00477E19" w:rsidRPr="00654124" w:rsidRDefault="00477E19" w:rsidP="00477E19">
      <w:pPr>
        <w:numPr>
          <w:ilvl w:val="0"/>
          <w:numId w:val="34"/>
        </w:numPr>
        <w:spacing w:after="0" w:line="360" w:lineRule="auto"/>
        <w:jc w:val="both"/>
        <w:rPr>
          <w:rFonts w:asciiTheme="majorBidi" w:hAnsiTheme="majorBidi" w:cstheme="majorBidi"/>
        </w:rPr>
      </w:pPr>
      <w:r w:rsidRPr="00654124">
        <w:rPr>
          <w:rFonts w:asciiTheme="majorBidi" w:hAnsiTheme="majorBidi" w:cstheme="majorBidi"/>
        </w:rPr>
        <w:t>Appropriate seating arrangements;</w:t>
      </w:r>
    </w:p>
    <w:p w:rsidR="00477E19" w:rsidRPr="00654124" w:rsidRDefault="00477E19" w:rsidP="00477E19">
      <w:pPr>
        <w:numPr>
          <w:ilvl w:val="0"/>
          <w:numId w:val="34"/>
        </w:numPr>
        <w:spacing w:after="0" w:line="360" w:lineRule="auto"/>
        <w:jc w:val="both"/>
        <w:rPr>
          <w:rFonts w:asciiTheme="majorBidi" w:hAnsiTheme="majorBidi" w:cstheme="majorBidi"/>
        </w:rPr>
      </w:pPr>
      <w:r w:rsidRPr="00654124">
        <w:rPr>
          <w:rFonts w:asciiTheme="majorBidi" w:hAnsiTheme="majorBidi" w:cstheme="majorBidi"/>
        </w:rPr>
        <w:t>Signage for navigation.</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8.2 Digital Accessibility</w:t>
      </w:r>
    </w:p>
    <w:p w:rsidR="00477E19" w:rsidRPr="00654124" w:rsidRDefault="00477E19" w:rsidP="00477E19">
      <w:pPr>
        <w:numPr>
          <w:ilvl w:val="0"/>
          <w:numId w:val="35"/>
        </w:numPr>
        <w:spacing w:after="0" w:line="360" w:lineRule="auto"/>
        <w:jc w:val="both"/>
        <w:rPr>
          <w:rFonts w:asciiTheme="majorBidi" w:hAnsiTheme="majorBidi" w:cstheme="majorBidi"/>
        </w:rPr>
      </w:pPr>
      <w:r w:rsidRPr="00654124">
        <w:rPr>
          <w:rFonts w:asciiTheme="majorBidi" w:hAnsiTheme="majorBidi" w:cstheme="majorBidi"/>
        </w:rPr>
        <w:t>Websites, LMS, and software must be accessible to all users;</w:t>
      </w:r>
    </w:p>
    <w:p w:rsidR="00477E19" w:rsidRPr="00654124" w:rsidRDefault="00477E19" w:rsidP="00477E19">
      <w:pPr>
        <w:numPr>
          <w:ilvl w:val="0"/>
          <w:numId w:val="35"/>
        </w:numPr>
        <w:spacing w:after="0" w:line="360" w:lineRule="auto"/>
        <w:jc w:val="both"/>
        <w:rPr>
          <w:rFonts w:asciiTheme="majorBidi" w:hAnsiTheme="majorBidi" w:cstheme="majorBidi"/>
        </w:rPr>
      </w:pPr>
      <w:r w:rsidRPr="00654124">
        <w:rPr>
          <w:rFonts w:asciiTheme="majorBidi" w:hAnsiTheme="majorBidi" w:cstheme="majorBidi"/>
        </w:rPr>
        <w:t>Assistive technologies supported (screen readers, captioning, etc.).</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9. Recruitment, Employment, and Promotions</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The University Division ensures:</w:t>
      </w:r>
    </w:p>
    <w:p w:rsidR="00477E19" w:rsidRPr="00654124" w:rsidRDefault="00477E19" w:rsidP="00477E19">
      <w:pPr>
        <w:numPr>
          <w:ilvl w:val="0"/>
          <w:numId w:val="36"/>
        </w:numPr>
        <w:spacing w:after="0" w:line="360" w:lineRule="auto"/>
        <w:jc w:val="both"/>
        <w:rPr>
          <w:rFonts w:asciiTheme="majorBidi" w:hAnsiTheme="majorBidi" w:cstheme="majorBidi"/>
        </w:rPr>
      </w:pPr>
      <w:r w:rsidRPr="00654124">
        <w:rPr>
          <w:rFonts w:asciiTheme="majorBidi" w:hAnsiTheme="majorBidi" w:cstheme="majorBidi"/>
        </w:rPr>
        <w:t>Fair, transparent recruitment processes;</w:t>
      </w:r>
    </w:p>
    <w:p w:rsidR="00477E19" w:rsidRPr="00654124" w:rsidRDefault="00477E19" w:rsidP="00477E19">
      <w:pPr>
        <w:numPr>
          <w:ilvl w:val="0"/>
          <w:numId w:val="36"/>
        </w:numPr>
        <w:spacing w:after="0" w:line="360" w:lineRule="auto"/>
        <w:jc w:val="both"/>
        <w:rPr>
          <w:rFonts w:asciiTheme="majorBidi" w:hAnsiTheme="majorBidi" w:cstheme="majorBidi"/>
        </w:rPr>
      </w:pPr>
      <w:r w:rsidRPr="00654124">
        <w:rPr>
          <w:rFonts w:asciiTheme="majorBidi" w:hAnsiTheme="majorBidi" w:cstheme="majorBidi"/>
        </w:rPr>
        <w:t>Representation of diverse applicants;</w:t>
      </w:r>
    </w:p>
    <w:p w:rsidR="00477E19" w:rsidRPr="00654124" w:rsidRDefault="00477E19" w:rsidP="00477E19">
      <w:pPr>
        <w:numPr>
          <w:ilvl w:val="0"/>
          <w:numId w:val="36"/>
        </w:numPr>
        <w:spacing w:after="0" w:line="360" w:lineRule="auto"/>
        <w:jc w:val="both"/>
        <w:rPr>
          <w:rFonts w:asciiTheme="majorBidi" w:hAnsiTheme="majorBidi" w:cstheme="majorBidi"/>
        </w:rPr>
      </w:pPr>
      <w:r w:rsidRPr="00654124">
        <w:rPr>
          <w:rFonts w:asciiTheme="majorBidi" w:hAnsiTheme="majorBidi" w:cstheme="majorBidi"/>
        </w:rPr>
        <w:t>Equal access to promotions and training opportunities;</w:t>
      </w:r>
    </w:p>
    <w:p w:rsidR="00477E19" w:rsidRPr="00654124" w:rsidRDefault="00477E19" w:rsidP="00477E19">
      <w:pPr>
        <w:numPr>
          <w:ilvl w:val="0"/>
          <w:numId w:val="36"/>
        </w:numPr>
        <w:spacing w:after="0" w:line="360" w:lineRule="auto"/>
        <w:jc w:val="both"/>
        <w:rPr>
          <w:rFonts w:asciiTheme="majorBidi" w:hAnsiTheme="majorBidi" w:cstheme="majorBidi"/>
        </w:rPr>
      </w:pPr>
      <w:r w:rsidRPr="00654124">
        <w:rPr>
          <w:rFonts w:asciiTheme="majorBidi" w:hAnsiTheme="majorBidi" w:cstheme="majorBidi"/>
        </w:rPr>
        <w:t>No discrimination during performance evaluations or assignments.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10. Prevention of Harassment and Discrimination</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10.1 Zero-Tolerance Policy</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Harassment of any kind—sexual, gender-based, racial, digital, or verbal—is strictly prohibited.</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10.2 Reporting Mechanisms</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Students and staff may report issues to:</w:t>
      </w:r>
    </w:p>
    <w:p w:rsidR="00477E19" w:rsidRPr="00654124" w:rsidRDefault="00477E19" w:rsidP="00477E19">
      <w:pPr>
        <w:numPr>
          <w:ilvl w:val="0"/>
          <w:numId w:val="37"/>
        </w:numPr>
        <w:spacing w:after="0" w:line="360" w:lineRule="auto"/>
        <w:jc w:val="both"/>
        <w:rPr>
          <w:rFonts w:asciiTheme="majorBidi" w:hAnsiTheme="majorBidi" w:cstheme="majorBidi"/>
        </w:rPr>
      </w:pPr>
      <w:r w:rsidRPr="00654124">
        <w:rPr>
          <w:rFonts w:asciiTheme="majorBidi" w:hAnsiTheme="majorBidi" w:cstheme="majorBidi"/>
        </w:rPr>
        <w:t>Equal Opportunity and Inclusion Committee (EOIC)</w:t>
      </w:r>
    </w:p>
    <w:p w:rsidR="00477E19" w:rsidRPr="00654124" w:rsidRDefault="00477E19" w:rsidP="00477E19">
      <w:pPr>
        <w:numPr>
          <w:ilvl w:val="0"/>
          <w:numId w:val="37"/>
        </w:numPr>
        <w:spacing w:after="0" w:line="360" w:lineRule="auto"/>
        <w:jc w:val="both"/>
        <w:rPr>
          <w:rFonts w:asciiTheme="majorBidi" w:hAnsiTheme="majorBidi" w:cstheme="majorBidi"/>
        </w:rPr>
      </w:pPr>
      <w:r w:rsidRPr="00654124">
        <w:rPr>
          <w:rFonts w:asciiTheme="majorBidi" w:hAnsiTheme="majorBidi" w:cstheme="majorBidi"/>
        </w:rPr>
        <w:t>Student Affairs Office</w:t>
      </w:r>
    </w:p>
    <w:p w:rsidR="00477E19" w:rsidRPr="00654124" w:rsidRDefault="00477E19" w:rsidP="00477E19">
      <w:pPr>
        <w:numPr>
          <w:ilvl w:val="0"/>
          <w:numId w:val="37"/>
        </w:numPr>
        <w:spacing w:after="0" w:line="360" w:lineRule="auto"/>
        <w:jc w:val="both"/>
        <w:rPr>
          <w:rFonts w:asciiTheme="majorBidi" w:hAnsiTheme="majorBidi" w:cstheme="majorBidi"/>
        </w:rPr>
      </w:pPr>
      <w:r w:rsidRPr="00654124">
        <w:rPr>
          <w:rFonts w:asciiTheme="majorBidi" w:hAnsiTheme="majorBidi" w:cstheme="majorBidi"/>
        </w:rPr>
        <w:t>HR Division</w:t>
      </w:r>
    </w:p>
    <w:p w:rsidR="00477E19" w:rsidRPr="00654124" w:rsidRDefault="00477E19" w:rsidP="00477E19">
      <w:pPr>
        <w:numPr>
          <w:ilvl w:val="0"/>
          <w:numId w:val="37"/>
        </w:numPr>
        <w:spacing w:after="0" w:line="360" w:lineRule="auto"/>
        <w:jc w:val="both"/>
        <w:rPr>
          <w:rFonts w:asciiTheme="majorBidi" w:hAnsiTheme="majorBidi" w:cstheme="majorBidi"/>
        </w:rPr>
      </w:pPr>
      <w:r w:rsidRPr="00654124">
        <w:rPr>
          <w:rFonts w:asciiTheme="majorBidi" w:hAnsiTheme="majorBidi" w:cstheme="majorBidi"/>
        </w:rPr>
        <w:t>Counselling Unit</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10.3 Investigation Procedures</w:t>
      </w:r>
    </w:p>
    <w:p w:rsidR="00477E19" w:rsidRPr="00654124" w:rsidRDefault="00477E19" w:rsidP="00477E19">
      <w:pPr>
        <w:numPr>
          <w:ilvl w:val="0"/>
          <w:numId w:val="38"/>
        </w:numPr>
        <w:spacing w:after="0" w:line="360" w:lineRule="auto"/>
        <w:jc w:val="both"/>
        <w:rPr>
          <w:rFonts w:asciiTheme="majorBidi" w:hAnsiTheme="majorBidi" w:cstheme="majorBidi"/>
        </w:rPr>
      </w:pPr>
      <w:r w:rsidRPr="00654124">
        <w:rPr>
          <w:rFonts w:asciiTheme="majorBidi" w:hAnsiTheme="majorBidi" w:cstheme="majorBidi"/>
        </w:rPr>
        <w:t>Confidential and impartial investigations;</w:t>
      </w:r>
    </w:p>
    <w:p w:rsidR="00477E19" w:rsidRPr="00654124" w:rsidRDefault="00477E19" w:rsidP="00477E19">
      <w:pPr>
        <w:numPr>
          <w:ilvl w:val="0"/>
          <w:numId w:val="38"/>
        </w:numPr>
        <w:spacing w:after="0" w:line="360" w:lineRule="auto"/>
        <w:jc w:val="both"/>
        <w:rPr>
          <w:rFonts w:asciiTheme="majorBidi" w:hAnsiTheme="majorBidi" w:cstheme="majorBidi"/>
        </w:rPr>
      </w:pPr>
      <w:r w:rsidRPr="00654124">
        <w:rPr>
          <w:rFonts w:asciiTheme="majorBidi" w:hAnsiTheme="majorBidi" w:cstheme="majorBidi"/>
        </w:rPr>
        <w:t>Protection of complainants from retaliation;</w:t>
      </w:r>
    </w:p>
    <w:p w:rsidR="00477E19" w:rsidRPr="00654124" w:rsidRDefault="00477E19" w:rsidP="00477E19">
      <w:pPr>
        <w:numPr>
          <w:ilvl w:val="0"/>
          <w:numId w:val="38"/>
        </w:numPr>
        <w:spacing w:after="0" w:line="360" w:lineRule="auto"/>
        <w:jc w:val="both"/>
        <w:rPr>
          <w:rFonts w:asciiTheme="majorBidi" w:hAnsiTheme="majorBidi" w:cstheme="majorBidi"/>
        </w:rPr>
      </w:pPr>
      <w:r w:rsidRPr="00654124">
        <w:rPr>
          <w:rFonts w:asciiTheme="majorBidi" w:hAnsiTheme="majorBidi" w:cstheme="majorBidi"/>
        </w:rPr>
        <w:t>Timely resolution following principles of natural justice.</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11. Awareness, Training, and Capacity Building</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 xml:space="preserve">Mandatory training </w:t>
      </w:r>
      <w:proofErr w:type="spellStart"/>
      <w:r w:rsidRPr="00654124">
        <w:rPr>
          <w:rFonts w:asciiTheme="majorBidi" w:hAnsiTheme="majorBidi" w:cstheme="majorBidi"/>
        </w:rPr>
        <w:t>programmes</w:t>
      </w:r>
      <w:proofErr w:type="spellEnd"/>
      <w:r w:rsidRPr="00654124">
        <w:rPr>
          <w:rFonts w:asciiTheme="majorBidi" w:hAnsiTheme="majorBidi" w:cstheme="majorBidi"/>
        </w:rPr>
        <w:t xml:space="preserve"> include:</w:t>
      </w:r>
    </w:p>
    <w:p w:rsidR="00477E19" w:rsidRPr="00654124" w:rsidRDefault="00477E19" w:rsidP="00477E19">
      <w:pPr>
        <w:numPr>
          <w:ilvl w:val="0"/>
          <w:numId w:val="39"/>
        </w:numPr>
        <w:spacing w:after="0" w:line="360" w:lineRule="auto"/>
        <w:jc w:val="both"/>
        <w:rPr>
          <w:rFonts w:asciiTheme="majorBidi" w:hAnsiTheme="majorBidi" w:cstheme="majorBidi"/>
        </w:rPr>
      </w:pPr>
      <w:r w:rsidRPr="00654124">
        <w:rPr>
          <w:rFonts w:asciiTheme="majorBidi" w:hAnsiTheme="majorBidi" w:cstheme="majorBidi"/>
        </w:rPr>
        <w:t>Anti-discrimination and anti-harassment training;</w:t>
      </w:r>
    </w:p>
    <w:p w:rsidR="00477E19" w:rsidRPr="00654124" w:rsidRDefault="00477E19" w:rsidP="00477E19">
      <w:pPr>
        <w:numPr>
          <w:ilvl w:val="0"/>
          <w:numId w:val="39"/>
        </w:numPr>
        <w:spacing w:after="0" w:line="360" w:lineRule="auto"/>
        <w:jc w:val="both"/>
        <w:rPr>
          <w:rFonts w:asciiTheme="majorBidi" w:hAnsiTheme="majorBidi" w:cstheme="majorBidi"/>
        </w:rPr>
      </w:pPr>
      <w:r w:rsidRPr="00654124">
        <w:rPr>
          <w:rFonts w:asciiTheme="majorBidi" w:hAnsiTheme="majorBidi" w:cstheme="majorBidi"/>
        </w:rPr>
        <w:t xml:space="preserve">Gender sensitivity </w:t>
      </w:r>
      <w:proofErr w:type="spellStart"/>
      <w:r w:rsidRPr="00654124">
        <w:rPr>
          <w:rFonts w:asciiTheme="majorBidi" w:hAnsiTheme="majorBidi" w:cstheme="majorBidi"/>
        </w:rPr>
        <w:t>programmes</w:t>
      </w:r>
      <w:proofErr w:type="spellEnd"/>
      <w:r w:rsidRPr="00654124">
        <w:rPr>
          <w:rFonts w:asciiTheme="majorBidi" w:hAnsiTheme="majorBidi" w:cstheme="majorBidi"/>
        </w:rPr>
        <w:t>;</w:t>
      </w:r>
    </w:p>
    <w:p w:rsidR="00477E19" w:rsidRPr="00654124" w:rsidRDefault="00477E19" w:rsidP="00477E19">
      <w:pPr>
        <w:numPr>
          <w:ilvl w:val="0"/>
          <w:numId w:val="39"/>
        </w:numPr>
        <w:spacing w:after="0" w:line="360" w:lineRule="auto"/>
        <w:jc w:val="both"/>
        <w:rPr>
          <w:rFonts w:asciiTheme="majorBidi" w:hAnsiTheme="majorBidi" w:cstheme="majorBidi"/>
        </w:rPr>
      </w:pPr>
      <w:r w:rsidRPr="00654124">
        <w:rPr>
          <w:rFonts w:asciiTheme="majorBidi" w:hAnsiTheme="majorBidi" w:cstheme="majorBidi"/>
        </w:rPr>
        <w:t>Disability awareness;</w:t>
      </w:r>
    </w:p>
    <w:p w:rsidR="00477E19" w:rsidRPr="00654124" w:rsidRDefault="00477E19" w:rsidP="00477E19">
      <w:pPr>
        <w:numPr>
          <w:ilvl w:val="0"/>
          <w:numId w:val="39"/>
        </w:numPr>
        <w:spacing w:after="0" w:line="360" w:lineRule="auto"/>
        <w:jc w:val="both"/>
        <w:rPr>
          <w:rFonts w:asciiTheme="majorBidi" w:hAnsiTheme="majorBidi" w:cstheme="majorBidi"/>
        </w:rPr>
      </w:pPr>
      <w:r w:rsidRPr="00654124">
        <w:rPr>
          <w:rFonts w:asciiTheme="majorBidi" w:hAnsiTheme="majorBidi" w:cstheme="majorBidi"/>
        </w:rPr>
        <w:lastRenderedPageBreak/>
        <w:t>Cultural diversity and inclusion workshops;</w:t>
      </w:r>
    </w:p>
    <w:p w:rsidR="00477E19" w:rsidRPr="00654124" w:rsidRDefault="00477E19" w:rsidP="00477E19">
      <w:pPr>
        <w:numPr>
          <w:ilvl w:val="0"/>
          <w:numId w:val="39"/>
        </w:numPr>
        <w:spacing w:after="0" w:line="360" w:lineRule="auto"/>
        <w:jc w:val="both"/>
        <w:rPr>
          <w:rFonts w:asciiTheme="majorBidi" w:hAnsiTheme="majorBidi" w:cstheme="majorBidi"/>
        </w:rPr>
      </w:pPr>
      <w:r w:rsidRPr="00654124">
        <w:rPr>
          <w:rFonts w:asciiTheme="majorBidi" w:hAnsiTheme="majorBidi" w:cstheme="majorBidi"/>
        </w:rPr>
        <w:t>Inclusive teaching and supervision training for staff.</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Training outcomes tracked under IQAC quality processes.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12. Monitoring, Reporting, and Quality Assurance</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12.1 Annual Inclusion Audit</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EOIC conducts annual audits covering:</w:t>
      </w:r>
    </w:p>
    <w:p w:rsidR="00477E19" w:rsidRPr="00654124" w:rsidRDefault="00477E19" w:rsidP="00477E19">
      <w:pPr>
        <w:numPr>
          <w:ilvl w:val="0"/>
          <w:numId w:val="40"/>
        </w:numPr>
        <w:spacing w:after="0" w:line="360" w:lineRule="auto"/>
        <w:jc w:val="both"/>
        <w:rPr>
          <w:rFonts w:asciiTheme="majorBidi" w:hAnsiTheme="majorBidi" w:cstheme="majorBidi"/>
        </w:rPr>
      </w:pPr>
      <w:r w:rsidRPr="00654124">
        <w:rPr>
          <w:rFonts w:asciiTheme="majorBidi" w:hAnsiTheme="majorBidi" w:cstheme="majorBidi"/>
        </w:rPr>
        <w:t>Diversity statistics</w:t>
      </w:r>
    </w:p>
    <w:p w:rsidR="00477E19" w:rsidRPr="00654124" w:rsidRDefault="00477E19" w:rsidP="00477E19">
      <w:pPr>
        <w:numPr>
          <w:ilvl w:val="0"/>
          <w:numId w:val="40"/>
        </w:numPr>
        <w:spacing w:after="0" w:line="360" w:lineRule="auto"/>
        <w:jc w:val="both"/>
        <w:rPr>
          <w:rFonts w:asciiTheme="majorBidi" w:hAnsiTheme="majorBidi" w:cstheme="majorBidi"/>
        </w:rPr>
      </w:pPr>
      <w:r w:rsidRPr="00654124">
        <w:rPr>
          <w:rFonts w:asciiTheme="majorBidi" w:hAnsiTheme="majorBidi" w:cstheme="majorBidi"/>
        </w:rPr>
        <w:t>Campus accessibility</w:t>
      </w:r>
    </w:p>
    <w:p w:rsidR="00477E19" w:rsidRPr="00654124" w:rsidRDefault="00477E19" w:rsidP="00477E19">
      <w:pPr>
        <w:numPr>
          <w:ilvl w:val="0"/>
          <w:numId w:val="40"/>
        </w:numPr>
        <w:spacing w:after="0" w:line="360" w:lineRule="auto"/>
        <w:jc w:val="both"/>
        <w:rPr>
          <w:rFonts w:asciiTheme="majorBidi" w:hAnsiTheme="majorBidi" w:cstheme="majorBidi"/>
        </w:rPr>
      </w:pPr>
      <w:r w:rsidRPr="00654124">
        <w:rPr>
          <w:rFonts w:asciiTheme="majorBidi" w:hAnsiTheme="majorBidi" w:cstheme="majorBidi"/>
        </w:rPr>
        <w:t>Policy compliance</w:t>
      </w:r>
    </w:p>
    <w:p w:rsidR="00477E19" w:rsidRPr="00654124" w:rsidRDefault="00477E19" w:rsidP="00477E19">
      <w:pPr>
        <w:numPr>
          <w:ilvl w:val="0"/>
          <w:numId w:val="40"/>
        </w:numPr>
        <w:spacing w:after="0" w:line="360" w:lineRule="auto"/>
        <w:jc w:val="both"/>
        <w:rPr>
          <w:rFonts w:asciiTheme="majorBidi" w:hAnsiTheme="majorBidi" w:cstheme="majorBidi"/>
        </w:rPr>
      </w:pPr>
      <w:r w:rsidRPr="00654124">
        <w:rPr>
          <w:rFonts w:asciiTheme="majorBidi" w:hAnsiTheme="majorBidi" w:cstheme="majorBidi"/>
        </w:rPr>
        <w:t>Training participation</w:t>
      </w:r>
    </w:p>
    <w:p w:rsidR="00477E19" w:rsidRPr="00654124" w:rsidRDefault="00477E19" w:rsidP="00477E19">
      <w:pPr>
        <w:numPr>
          <w:ilvl w:val="0"/>
          <w:numId w:val="40"/>
        </w:numPr>
        <w:spacing w:after="0" w:line="360" w:lineRule="auto"/>
        <w:jc w:val="both"/>
        <w:rPr>
          <w:rFonts w:asciiTheme="majorBidi" w:hAnsiTheme="majorBidi" w:cstheme="majorBidi"/>
        </w:rPr>
      </w:pPr>
      <w:r w:rsidRPr="00654124">
        <w:rPr>
          <w:rFonts w:asciiTheme="majorBidi" w:hAnsiTheme="majorBidi" w:cstheme="majorBidi"/>
        </w:rPr>
        <w:t>Feedback from students and staff</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12.2 Reporting</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Findings submitted to:</w:t>
      </w:r>
    </w:p>
    <w:p w:rsidR="00477E19" w:rsidRPr="00654124" w:rsidRDefault="00477E19" w:rsidP="00477E19">
      <w:pPr>
        <w:numPr>
          <w:ilvl w:val="0"/>
          <w:numId w:val="41"/>
        </w:numPr>
        <w:spacing w:after="0" w:line="360" w:lineRule="auto"/>
        <w:jc w:val="both"/>
        <w:rPr>
          <w:rFonts w:asciiTheme="majorBidi" w:hAnsiTheme="majorBidi" w:cstheme="majorBidi"/>
        </w:rPr>
      </w:pPr>
      <w:r w:rsidRPr="00654124">
        <w:rPr>
          <w:rFonts w:asciiTheme="majorBidi" w:hAnsiTheme="majorBidi" w:cstheme="majorBidi"/>
        </w:rPr>
        <w:t>IQAC</w:t>
      </w:r>
    </w:p>
    <w:p w:rsidR="00477E19" w:rsidRPr="00654124" w:rsidRDefault="00477E19" w:rsidP="00477E19">
      <w:pPr>
        <w:numPr>
          <w:ilvl w:val="0"/>
          <w:numId w:val="41"/>
        </w:numPr>
        <w:spacing w:after="0" w:line="360" w:lineRule="auto"/>
        <w:jc w:val="both"/>
        <w:rPr>
          <w:rFonts w:asciiTheme="majorBidi" w:hAnsiTheme="majorBidi" w:cstheme="majorBidi"/>
        </w:rPr>
      </w:pPr>
      <w:r w:rsidRPr="00654124">
        <w:rPr>
          <w:rFonts w:asciiTheme="majorBidi" w:hAnsiTheme="majorBidi" w:cstheme="majorBidi"/>
        </w:rPr>
        <w:t>Senate</w:t>
      </w:r>
    </w:p>
    <w:p w:rsidR="00477E19" w:rsidRPr="00654124" w:rsidRDefault="00477E19" w:rsidP="00477E19">
      <w:pPr>
        <w:numPr>
          <w:ilvl w:val="0"/>
          <w:numId w:val="41"/>
        </w:numPr>
        <w:spacing w:after="0" w:line="360" w:lineRule="auto"/>
        <w:jc w:val="both"/>
        <w:rPr>
          <w:rFonts w:asciiTheme="majorBidi" w:hAnsiTheme="majorBidi" w:cstheme="majorBidi"/>
        </w:rPr>
      </w:pPr>
      <w:r w:rsidRPr="00654124">
        <w:rPr>
          <w:rFonts w:asciiTheme="majorBidi" w:hAnsiTheme="majorBidi" w:cstheme="majorBidi"/>
        </w:rPr>
        <w:t>Governing Board</w:t>
      </w: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12.3 Continuous Improvement</w:t>
      </w:r>
    </w:p>
    <w:p w:rsidR="00477E19" w:rsidRPr="00654124" w:rsidRDefault="00477E19" w:rsidP="00477E19">
      <w:pPr>
        <w:spacing w:after="0" w:line="360" w:lineRule="auto"/>
        <w:jc w:val="both"/>
        <w:rPr>
          <w:rFonts w:asciiTheme="majorBidi" w:hAnsiTheme="majorBidi" w:cstheme="majorBidi"/>
        </w:rPr>
      </w:pPr>
      <w:r w:rsidRPr="00654124">
        <w:rPr>
          <w:rFonts w:asciiTheme="majorBidi" w:hAnsiTheme="majorBidi" w:cstheme="majorBidi"/>
        </w:rPr>
        <w:t>Corrective and preventive actions implemented as part of institutional QA processes.</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13. Responsibilities</w:t>
      </w:r>
    </w:p>
    <w:tbl>
      <w:tblPr>
        <w:tblStyle w:val="TableGrid"/>
        <w:tblW w:w="0" w:type="auto"/>
        <w:tblLook w:val="04A0" w:firstRow="1" w:lastRow="0" w:firstColumn="1" w:lastColumn="0" w:noHBand="0" w:noVBand="1"/>
      </w:tblPr>
      <w:tblGrid>
        <w:gridCol w:w="2780"/>
        <w:gridCol w:w="6236"/>
      </w:tblGrid>
      <w:tr w:rsidR="00477E19" w:rsidRPr="00654124" w:rsidTr="00D55684">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Entity</w:t>
            </w:r>
          </w:p>
        </w:tc>
        <w:tc>
          <w:tcPr>
            <w:tcW w:w="0" w:type="auto"/>
            <w:shd w:val="clear" w:color="auto" w:fill="2F5496" w:themeFill="accent1" w:themeFillShade="BF"/>
            <w:hideMark/>
          </w:tcPr>
          <w:p w:rsidR="00477E19" w:rsidRPr="00654124" w:rsidRDefault="00477E19" w:rsidP="00D55684">
            <w:pPr>
              <w:spacing w:line="360" w:lineRule="auto"/>
              <w:jc w:val="both"/>
              <w:rPr>
                <w:rFonts w:asciiTheme="majorBidi" w:hAnsiTheme="majorBidi" w:cstheme="majorBidi"/>
                <w:b/>
                <w:bCs/>
              </w:rPr>
            </w:pPr>
            <w:r w:rsidRPr="00654124">
              <w:rPr>
                <w:rFonts w:asciiTheme="majorBidi" w:hAnsiTheme="majorBidi" w:cstheme="majorBidi"/>
                <w:b/>
                <w:bCs/>
              </w:rPr>
              <w:t>Key Responsibilities</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Governing Board</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Provides strategic direction and approves EODI initiatives.</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Senate</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Ensures inclusive academic practices and decision-making.</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IQAC</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Integrates EODI indicators into QA monitoring and audits.</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EOIC</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 xml:space="preserve">Oversees implementation, awareness </w:t>
            </w:r>
            <w:proofErr w:type="spellStart"/>
            <w:r w:rsidRPr="00654124">
              <w:rPr>
                <w:rFonts w:asciiTheme="majorBidi" w:hAnsiTheme="majorBidi" w:cstheme="majorBidi"/>
              </w:rPr>
              <w:t>programmes</w:t>
            </w:r>
            <w:proofErr w:type="spellEnd"/>
            <w:r w:rsidRPr="00654124">
              <w:rPr>
                <w:rFonts w:asciiTheme="majorBidi" w:hAnsiTheme="majorBidi" w:cstheme="majorBidi"/>
              </w:rPr>
              <w:t>, and investigations.</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HR Division</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Ensures fair recruitment, promotion, and staff support.</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Deans &amp; Heads</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Promote inclusive environments in faculties and departments.</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Counsellors &amp; Support Units</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Provide accommodations and support services.</w:t>
            </w:r>
          </w:p>
        </w:tc>
      </w:tr>
      <w:tr w:rsidR="00477E19" w:rsidRPr="00654124" w:rsidTr="00D55684">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Students &amp; Staff</w:t>
            </w:r>
          </w:p>
        </w:tc>
        <w:tc>
          <w:tcPr>
            <w:tcW w:w="0" w:type="auto"/>
            <w:hideMark/>
          </w:tcPr>
          <w:p w:rsidR="00477E19" w:rsidRPr="00654124" w:rsidRDefault="00477E19" w:rsidP="00D55684">
            <w:pPr>
              <w:spacing w:line="360" w:lineRule="auto"/>
              <w:jc w:val="both"/>
              <w:rPr>
                <w:rFonts w:asciiTheme="majorBidi" w:hAnsiTheme="majorBidi" w:cstheme="majorBidi"/>
              </w:rPr>
            </w:pPr>
            <w:r w:rsidRPr="00654124">
              <w:rPr>
                <w:rFonts w:asciiTheme="majorBidi" w:hAnsiTheme="majorBidi" w:cstheme="majorBidi"/>
              </w:rPr>
              <w:t>Uphold principles of equity, inclusivity, and respect.</w:t>
            </w:r>
          </w:p>
        </w:tc>
      </w:tr>
    </w:tbl>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lastRenderedPageBreak/>
        <w:t>14. Review and Amendment</w:t>
      </w:r>
    </w:p>
    <w:p w:rsidR="00477E19" w:rsidRPr="00654124" w:rsidRDefault="00477E19" w:rsidP="00477E19">
      <w:pPr>
        <w:numPr>
          <w:ilvl w:val="0"/>
          <w:numId w:val="42"/>
        </w:numPr>
        <w:spacing w:after="0" w:line="360" w:lineRule="auto"/>
        <w:jc w:val="both"/>
        <w:rPr>
          <w:rFonts w:asciiTheme="majorBidi" w:hAnsiTheme="majorBidi" w:cstheme="majorBidi"/>
        </w:rPr>
      </w:pPr>
      <w:r w:rsidRPr="00654124">
        <w:rPr>
          <w:rFonts w:asciiTheme="majorBidi" w:hAnsiTheme="majorBidi" w:cstheme="majorBidi"/>
        </w:rPr>
        <w:t xml:space="preserve">This policy reviewed every </w:t>
      </w:r>
      <w:r w:rsidRPr="00654124">
        <w:rPr>
          <w:rFonts w:asciiTheme="majorBidi" w:hAnsiTheme="majorBidi" w:cstheme="majorBidi"/>
          <w:b/>
          <w:bCs/>
        </w:rPr>
        <w:t>three (3) years</w:t>
      </w:r>
      <w:r w:rsidRPr="00654124">
        <w:rPr>
          <w:rFonts w:asciiTheme="majorBidi" w:hAnsiTheme="majorBidi" w:cstheme="majorBidi"/>
        </w:rPr>
        <w:t xml:space="preserve"> or earlier if needed due to legal or institutional developments.</w:t>
      </w:r>
    </w:p>
    <w:p w:rsidR="00477E19" w:rsidRPr="00654124" w:rsidRDefault="00477E19" w:rsidP="00477E19">
      <w:pPr>
        <w:numPr>
          <w:ilvl w:val="0"/>
          <w:numId w:val="42"/>
        </w:numPr>
        <w:spacing w:after="0" w:line="360" w:lineRule="auto"/>
        <w:jc w:val="both"/>
        <w:rPr>
          <w:rFonts w:asciiTheme="majorBidi" w:hAnsiTheme="majorBidi" w:cstheme="majorBidi"/>
        </w:rPr>
      </w:pPr>
      <w:r w:rsidRPr="00654124">
        <w:rPr>
          <w:rFonts w:asciiTheme="majorBidi" w:hAnsiTheme="majorBidi" w:cstheme="majorBidi"/>
        </w:rPr>
        <w:t>Amendments proposed by EOIC → endorsed by IQAC → approved by the Governing Board.</w:t>
      </w:r>
    </w:p>
    <w:p w:rsidR="00477E19" w:rsidRPr="00654124" w:rsidRDefault="00477E19" w:rsidP="00477E19">
      <w:pPr>
        <w:numPr>
          <w:ilvl w:val="0"/>
          <w:numId w:val="42"/>
        </w:numPr>
        <w:spacing w:after="0" w:line="360" w:lineRule="auto"/>
        <w:jc w:val="both"/>
        <w:rPr>
          <w:rFonts w:asciiTheme="majorBidi" w:hAnsiTheme="majorBidi" w:cstheme="majorBidi"/>
        </w:rPr>
      </w:pPr>
      <w:r w:rsidRPr="00654124">
        <w:rPr>
          <w:rFonts w:asciiTheme="majorBidi" w:hAnsiTheme="majorBidi" w:cstheme="majorBidi"/>
        </w:rPr>
        <w:t xml:space="preserve">All changes recorded in the </w:t>
      </w:r>
      <w:r w:rsidRPr="00654124">
        <w:rPr>
          <w:rFonts w:asciiTheme="majorBidi" w:hAnsiTheme="majorBidi" w:cstheme="majorBidi"/>
          <w:b/>
          <w:bCs/>
        </w:rPr>
        <w:t>Policy Version Register</w:t>
      </w:r>
      <w:r w:rsidRPr="00654124">
        <w:rPr>
          <w:rFonts w:asciiTheme="majorBidi" w:hAnsiTheme="majorBidi" w:cstheme="majorBidi"/>
        </w:rPr>
        <w:t>.</w:t>
      </w:r>
    </w:p>
    <w:p w:rsidR="00477E19" w:rsidRPr="00654124" w:rsidRDefault="00477E19" w:rsidP="00477E19">
      <w:pPr>
        <w:spacing w:after="0" w:line="360" w:lineRule="auto"/>
        <w:jc w:val="both"/>
        <w:rPr>
          <w:rFonts w:asciiTheme="majorBidi" w:hAnsiTheme="majorBidi" w:cstheme="majorBidi"/>
        </w:rPr>
      </w:pPr>
    </w:p>
    <w:p w:rsidR="00477E19" w:rsidRPr="00654124" w:rsidRDefault="00477E19" w:rsidP="00477E19">
      <w:pPr>
        <w:spacing w:after="0" w:line="360" w:lineRule="auto"/>
        <w:jc w:val="both"/>
        <w:rPr>
          <w:rFonts w:asciiTheme="majorBidi" w:hAnsiTheme="majorBidi" w:cstheme="majorBidi"/>
          <w:b/>
          <w:bCs/>
        </w:rPr>
      </w:pPr>
      <w:r w:rsidRPr="00654124">
        <w:rPr>
          <w:rFonts w:asciiTheme="majorBidi" w:hAnsiTheme="majorBidi" w:cstheme="majorBidi"/>
          <w:b/>
          <w:bCs/>
        </w:rPr>
        <w:t>15. Related Documents</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Student Discipline and Code of Conduct Policy</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Anti-Harassment and Anti-Ragging Policy</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Staff Recruitment and Development Policy</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Student Support and Welfare Policy</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Accessibility Guidelines</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ICT and Digital Governance Policy</w:t>
      </w:r>
    </w:p>
    <w:p w:rsidR="00477E19" w:rsidRPr="00654124" w:rsidRDefault="00477E19" w:rsidP="00477E19">
      <w:pPr>
        <w:numPr>
          <w:ilvl w:val="0"/>
          <w:numId w:val="43"/>
        </w:numPr>
        <w:spacing w:after="0" w:line="360" w:lineRule="auto"/>
        <w:jc w:val="both"/>
        <w:rPr>
          <w:rFonts w:asciiTheme="majorBidi" w:hAnsiTheme="majorBidi" w:cstheme="majorBidi"/>
        </w:rPr>
      </w:pPr>
      <w:r w:rsidRPr="00654124">
        <w:rPr>
          <w:rFonts w:asciiTheme="majorBidi" w:hAnsiTheme="majorBidi" w:cstheme="majorBidi"/>
        </w:rPr>
        <w:t>QAAC and SLQF Standards</w:t>
      </w:r>
    </w:p>
    <w:p w:rsidR="00477E19" w:rsidRDefault="00477E19" w:rsidP="00477E19">
      <w:pPr>
        <w:spacing w:after="0" w:line="360" w:lineRule="auto"/>
        <w:jc w:val="both"/>
        <w:rPr>
          <w:rFonts w:ascii="Segoe UI Emoji" w:hAnsi="Segoe UI Emoji" w:cs="Segoe UI Emoji"/>
        </w:rPr>
      </w:pPr>
    </w:p>
    <w:p w:rsidR="00AC76E0" w:rsidRPr="00477E19" w:rsidRDefault="00477E19" w:rsidP="00477E19"/>
    <w:sectPr w:rsidR="00AC76E0" w:rsidRPr="00477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51E"/>
    <w:multiLevelType w:val="multilevel"/>
    <w:tmpl w:val="62C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04C3"/>
    <w:multiLevelType w:val="multilevel"/>
    <w:tmpl w:val="9FA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6C6"/>
    <w:multiLevelType w:val="multilevel"/>
    <w:tmpl w:val="33F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3363"/>
    <w:multiLevelType w:val="multilevel"/>
    <w:tmpl w:val="4D8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E0711"/>
    <w:multiLevelType w:val="multilevel"/>
    <w:tmpl w:val="9540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6555"/>
    <w:multiLevelType w:val="multilevel"/>
    <w:tmpl w:val="9460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970D2"/>
    <w:multiLevelType w:val="multilevel"/>
    <w:tmpl w:val="155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A"/>
    <w:multiLevelType w:val="multilevel"/>
    <w:tmpl w:val="33EC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754D9"/>
    <w:multiLevelType w:val="multilevel"/>
    <w:tmpl w:val="8B9E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D491B"/>
    <w:multiLevelType w:val="multilevel"/>
    <w:tmpl w:val="A7FE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26061"/>
    <w:multiLevelType w:val="multilevel"/>
    <w:tmpl w:val="7EE6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13771"/>
    <w:multiLevelType w:val="multilevel"/>
    <w:tmpl w:val="6990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81F29"/>
    <w:multiLevelType w:val="multilevel"/>
    <w:tmpl w:val="3D9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84934"/>
    <w:multiLevelType w:val="multilevel"/>
    <w:tmpl w:val="4616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7690F"/>
    <w:multiLevelType w:val="multilevel"/>
    <w:tmpl w:val="69F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81416"/>
    <w:multiLevelType w:val="multilevel"/>
    <w:tmpl w:val="6EFA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A4301E"/>
    <w:multiLevelType w:val="multilevel"/>
    <w:tmpl w:val="534E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AC5511"/>
    <w:multiLevelType w:val="multilevel"/>
    <w:tmpl w:val="72EE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CB5AAB"/>
    <w:multiLevelType w:val="multilevel"/>
    <w:tmpl w:val="41C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84FE7"/>
    <w:multiLevelType w:val="multilevel"/>
    <w:tmpl w:val="1978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E5363"/>
    <w:multiLevelType w:val="multilevel"/>
    <w:tmpl w:val="8B1E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21CAD"/>
    <w:multiLevelType w:val="multilevel"/>
    <w:tmpl w:val="8EC2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E2B55"/>
    <w:multiLevelType w:val="multilevel"/>
    <w:tmpl w:val="2B0C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B02A0"/>
    <w:multiLevelType w:val="multilevel"/>
    <w:tmpl w:val="AD6C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53855"/>
    <w:multiLevelType w:val="multilevel"/>
    <w:tmpl w:val="A456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ED0050"/>
    <w:multiLevelType w:val="multilevel"/>
    <w:tmpl w:val="3E80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56A3F"/>
    <w:multiLevelType w:val="multilevel"/>
    <w:tmpl w:val="767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7460B"/>
    <w:multiLevelType w:val="multilevel"/>
    <w:tmpl w:val="AAF6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22F48"/>
    <w:multiLevelType w:val="multilevel"/>
    <w:tmpl w:val="4E5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01B24"/>
    <w:multiLevelType w:val="multilevel"/>
    <w:tmpl w:val="DB5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76CA3"/>
    <w:multiLevelType w:val="multilevel"/>
    <w:tmpl w:val="F37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44D7B"/>
    <w:multiLevelType w:val="multilevel"/>
    <w:tmpl w:val="365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71990"/>
    <w:multiLevelType w:val="multilevel"/>
    <w:tmpl w:val="BCBA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1A0505"/>
    <w:multiLevelType w:val="multilevel"/>
    <w:tmpl w:val="8BD6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31986"/>
    <w:multiLevelType w:val="multilevel"/>
    <w:tmpl w:val="9FAA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D4632"/>
    <w:multiLevelType w:val="multilevel"/>
    <w:tmpl w:val="669A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66E9B"/>
    <w:multiLevelType w:val="multilevel"/>
    <w:tmpl w:val="EC8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7D72C7"/>
    <w:multiLevelType w:val="multilevel"/>
    <w:tmpl w:val="38B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B7470"/>
    <w:multiLevelType w:val="multilevel"/>
    <w:tmpl w:val="6DD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A15F9"/>
    <w:multiLevelType w:val="multilevel"/>
    <w:tmpl w:val="48CA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F0FDF"/>
    <w:multiLevelType w:val="multilevel"/>
    <w:tmpl w:val="01A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7309E"/>
    <w:multiLevelType w:val="multilevel"/>
    <w:tmpl w:val="A37E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E2D5F"/>
    <w:multiLevelType w:val="multilevel"/>
    <w:tmpl w:val="C21A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6"/>
  </w:num>
  <w:num w:numId="3">
    <w:abstractNumId w:val="15"/>
  </w:num>
  <w:num w:numId="4">
    <w:abstractNumId w:val="14"/>
  </w:num>
  <w:num w:numId="5">
    <w:abstractNumId w:val="12"/>
  </w:num>
  <w:num w:numId="6">
    <w:abstractNumId w:val="16"/>
  </w:num>
  <w:num w:numId="7">
    <w:abstractNumId w:val="0"/>
  </w:num>
  <w:num w:numId="8">
    <w:abstractNumId w:val="27"/>
  </w:num>
  <w:num w:numId="9">
    <w:abstractNumId w:val="9"/>
  </w:num>
  <w:num w:numId="10">
    <w:abstractNumId w:val="30"/>
  </w:num>
  <w:num w:numId="11">
    <w:abstractNumId w:val="7"/>
  </w:num>
  <w:num w:numId="12">
    <w:abstractNumId w:val="29"/>
  </w:num>
  <w:num w:numId="13">
    <w:abstractNumId w:val="26"/>
  </w:num>
  <w:num w:numId="14">
    <w:abstractNumId w:val="11"/>
  </w:num>
  <w:num w:numId="15">
    <w:abstractNumId w:val="10"/>
  </w:num>
  <w:num w:numId="16">
    <w:abstractNumId w:val="4"/>
  </w:num>
  <w:num w:numId="17">
    <w:abstractNumId w:val="20"/>
  </w:num>
  <w:num w:numId="18">
    <w:abstractNumId w:val="40"/>
  </w:num>
  <w:num w:numId="19">
    <w:abstractNumId w:val="8"/>
  </w:num>
  <w:num w:numId="20">
    <w:abstractNumId w:val="42"/>
  </w:num>
  <w:num w:numId="21">
    <w:abstractNumId w:val="38"/>
  </w:num>
  <w:num w:numId="22">
    <w:abstractNumId w:val="31"/>
  </w:num>
  <w:num w:numId="23">
    <w:abstractNumId w:val="3"/>
  </w:num>
  <w:num w:numId="24">
    <w:abstractNumId w:val="6"/>
  </w:num>
  <w:num w:numId="25">
    <w:abstractNumId w:val="21"/>
  </w:num>
  <w:num w:numId="26">
    <w:abstractNumId w:val="41"/>
  </w:num>
  <w:num w:numId="27">
    <w:abstractNumId w:val="13"/>
  </w:num>
  <w:num w:numId="28">
    <w:abstractNumId w:val="34"/>
  </w:num>
  <w:num w:numId="29">
    <w:abstractNumId w:val="5"/>
  </w:num>
  <w:num w:numId="30">
    <w:abstractNumId w:val="1"/>
  </w:num>
  <w:num w:numId="31">
    <w:abstractNumId w:val="22"/>
  </w:num>
  <w:num w:numId="32">
    <w:abstractNumId w:val="39"/>
  </w:num>
  <w:num w:numId="33">
    <w:abstractNumId w:val="33"/>
  </w:num>
  <w:num w:numId="34">
    <w:abstractNumId w:val="37"/>
  </w:num>
  <w:num w:numId="35">
    <w:abstractNumId w:val="24"/>
  </w:num>
  <w:num w:numId="36">
    <w:abstractNumId w:val="35"/>
  </w:num>
  <w:num w:numId="37">
    <w:abstractNumId w:val="19"/>
  </w:num>
  <w:num w:numId="38">
    <w:abstractNumId w:val="28"/>
  </w:num>
  <w:num w:numId="39">
    <w:abstractNumId w:val="25"/>
  </w:num>
  <w:num w:numId="40">
    <w:abstractNumId w:val="2"/>
  </w:num>
  <w:num w:numId="41">
    <w:abstractNumId w:val="18"/>
  </w:num>
  <w:num w:numId="42">
    <w:abstractNumId w:val="23"/>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BB"/>
    <w:rsid w:val="00477E19"/>
    <w:rsid w:val="00702FBB"/>
    <w:rsid w:val="009A517E"/>
    <w:rsid w:val="00D1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3B23"/>
  <w15:chartTrackingRefBased/>
  <w15:docId w15:val="{4F878106-57BD-49ED-92D7-8FEE3579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FBB"/>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FBB"/>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2025-12-15T10:11:00Z</dcterms:created>
  <dcterms:modified xsi:type="dcterms:W3CDTF">2025-12-15T10:11:00Z</dcterms:modified>
</cp:coreProperties>
</file>