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6825E1">
        <w:rPr>
          <w:rFonts w:asciiTheme="majorBidi" w:hAnsiTheme="majorBidi" w:cstheme="majorBidi"/>
          <w:b/>
          <w:bCs/>
        </w:rPr>
        <w:t>Infortec</w:t>
      </w:r>
      <w:proofErr w:type="spellEnd"/>
      <w:r w:rsidRPr="006825E1">
        <w:rPr>
          <w:rFonts w:asciiTheme="majorBidi" w:hAnsiTheme="majorBidi" w:cstheme="majorBidi"/>
          <w:b/>
          <w:bCs/>
        </w:rPr>
        <w:t xml:space="preserve"> International Technologies 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6825E1">
        <w:rPr>
          <w:rFonts w:asciiTheme="majorBidi" w:hAnsiTheme="majorBidi" w:cstheme="majorBidi"/>
          <w:b/>
          <w:bCs/>
        </w:rPr>
        <w:t>Data Management, Security, and Confidentiality Policy</w:t>
      </w:r>
    </w:p>
    <w:bookmarkEnd w:id="0"/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6825E1">
        <w:rPr>
          <w:rFonts w:asciiTheme="majorBidi" w:hAnsiTheme="majorBidi" w:cstheme="majorBidi"/>
        </w:rPr>
        <w:t>Infortec</w:t>
      </w:r>
      <w:proofErr w:type="spellEnd"/>
      <w:r w:rsidRPr="006825E1">
        <w:rPr>
          <w:rFonts w:asciiTheme="majorBidi" w:hAnsiTheme="majorBidi" w:cstheme="majorBidi"/>
        </w:rPr>
        <w:t>/IQAC/P/033/11/25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0C017F" w:rsidRPr="006825E1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0C017F" w:rsidRPr="006825E1" w:rsidTr="00D55684"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1. Preamble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High-quality data management practices are essential for academic integrity, administrative efficiency, privacy protection, and compliance with national and international standards.</w:t>
      </w:r>
      <w:r w:rsidRPr="006825E1">
        <w:rPr>
          <w:rFonts w:asciiTheme="majorBidi" w:hAnsiTheme="majorBidi" w:cstheme="majorBidi"/>
        </w:rPr>
        <w:br/>
      </w:r>
      <w:proofErr w:type="spellStart"/>
      <w:r w:rsidRPr="006825E1">
        <w:rPr>
          <w:rFonts w:asciiTheme="majorBidi" w:hAnsiTheme="majorBidi" w:cstheme="majorBidi"/>
        </w:rPr>
        <w:t>Infortec</w:t>
      </w:r>
      <w:proofErr w:type="spellEnd"/>
      <w:r w:rsidRPr="006825E1">
        <w:rPr>
          <w:rFonts w:asciiTheme="majorBidi" w:hAnsiTheme="majorBidi" w:cstheme="majorBidi"/>
        </w:rPr>
        <w:t xml:space="preserve"> International Technologies (University Division) </w:t>
      </w:r>
      <w:proofErr w:type="spellStart"/>
      <w:r w:rsidRPr="006825E1">
        <w:rPr>
          <w:rFonts w:asciiTheme="majorBidi" w:hAnsiTheme="majorBidi" w:cstheme="majorBidi"/>
        </w:rPr>
        <w:t>recognises</w:t>
      </w:r>
      <w:proofErr w:type="spellEnd"/>
      <w:r w:rsidRPr="006825E1">
        <w:rPr>
          <w:rFonts w:asciiTheme="majorBidi" w:hAnsiTheme="majorBidi" w:cstheme="majorBidi"/>
        </w:rPr>
        <w:t xml:space="preserve"> that all data—student, staff, academic, research, financial, and operational—must be safeguarded throughout its lifecycle.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This Policy aligns with:</w:t>
      </w:r>
    </w:p>
    <w:p w:rsidR="000C017F" w:rsidRPr="006825E1" w:rsidRDefault="000C017F" w:rsidP="000C017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QAAC institutional review criteria</w:t>
      </w:r>
    </w:p>
    <w:p w:rsidR="000C017F" w:rsidRPr="006825E1" w:rsidRDefault="000C017F" w:rsidP="000C017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Local data protection laws in Sri Lanka</w:t>
      </w:r>
    </w:p>
    <w:p w:rsidR="000C017F" w:rsidRPr="006825E1" w:rsidRDefault="000C017F" w:rsidP="000C017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International standards (ISO/IEC 27001, GDPR principles)</w:t>
      </w:r>
    </w:p>
    <w:p w:rsidR="000C017F" w:rsidRPr="006825E1" w:rsidRDefault="000C017F" w:rsidP="000C017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Ethical and professional obligations in higher education</w:t>
      </w:r>
    </w:p>
    <w:p w:rsidR="000C017F" w:rsidRPr="006825E1" w:rsidRDefault="000C017F" w:rsidP="000C017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Institutional governance and risk management frameworks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2. Policy Statement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The University Division is committed to ensuring confidentiality, integrity, accuracy, and availability of institutional data.</w:t>
      </w:r>
      <w:r>
        <w:rPr>
          <w:rFonts w:asciiTheme="majorBidi" w:hAnsiTheme="majorBidi" w:cstheme="majorBidi"/>
        </w:rPr>
        <w:t xml:space="preserve"> </w:t>
      </w:r>
      <w:r w:rsidRPr="006825E1">
        <w:rPr>
          <w:rFonts w:asciiTheme="majorBidi" w:hAnsiTheme="majorBidi" w:cstheme="majorBidi"/>
        </w:rPr>
        <w:t>All data must be collected, stored, processed, shared, and disposed of responsibly, securely, and ethically.</w:t>
      </w:r>
      <w:r>
        <w:rPr>
          <w:rFonts w:asciiTheme="majorBidi" w:hAnsiTheme="majorBidi" w:cstheme="majorBidi"/>
        </w:rPr>
        <w:t xml:space="preserve"> </w:t>
      </w:r>
      <w:r w:rsidRPr="006825E1">
        <w:rPr>
          <w:rFonts w:asciiTheme="majorBidi" w:hAnsiTheme="majorBidi" w:cstheme="majorBidi"/>
        </w:rPr>
        <w:t>Unauthorized access, misuse, disclosure, or manipulation of data is strictly prohibited and subject to disciplinary and/or legal action.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3. Objectives</w:t>
      </w:r>
    </w:p>
    <w:p w:rsidR="000C017F" w:rsidRPr="006825E1" w:rsidRDefault="000C017F" w:rsidP="000C017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establish a secure and standardized institutional framework for data governance.</w:t>
      </w:r>
    </w:p>
    <w:p w:rsidR="000C017F" w:rsidRPr="006825E1" w:rsidRDefault="000C017F" w:rsidP="000C017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protect the privacy and confidentiality of all personal and institutional data.</w:t>
      </w:r>
    </w:p>
    <w:p w:rsidR="000C017F" w:rsidRPr="006825E1" w:rsidRDefault="000C017F" w:rsidP="000C017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ensure compliance with relevant legal, regulatory, and ethical standards.</w:t>
      </w:r>
    </w:p>
    <w:p w:rsidR="000C017F" w:rsidRPr="006825E1" w:rsidRDefault="000C017F" w:rsidP="000C017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promote secure data storage, transfer, retrieval, and disposal practices.</w:t>
      </w:r>
    </w:p>
    <w:p w:rsidR="000C017F" w:rsidRPr="006825E1" w:rsidRDefault="000C017F" w:rsidP="000C017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lastRenderedPageBreak/>
        <w:t>To minimize cybersecurity risks and data breaches.</w:t>
      </w:r>
    </w:p>
    <w:p w:rsidR="000C017F" w:rsidRPr="006825E1" w:rsidRDefault="000C017F" w:rsidP="000C017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ensure accuracy, completeness, and reliability of institutional data.</w:t>
      </w:r>
    </w:p>
    <w:p w:rsidR="000C017F" w:rsidRPr="006825E1" w:rsidRDefault="000C017F" w:rsidP="000C017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support evidence-based decision-making through well-managed data systems.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4. Scope and Applicability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This policy applies to:</w:t>
      </w:r>
    </w:p>
    <w:p w:rsidR="000C017F" w:rsidRPr="006825E1" w:rsidRDefault="000C017F" w:rsidP="000C017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academic, administrative, financial, research, student, and HR data;</w:t>
      </w:r>
    </w:p>
    <w:p w:rsidR="000C017F" w:rsidRPr="006825E1" w:rsidRDefault="000C017F" w:rsidP="000C017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digital systems (LMS, SIS, MIS, ERP, Email platforms);</w:t>
      </w:r>
    </w:p>
    <w:p w:rsidR="000C017F" w:rsidRPr="006825E1" w:rsidRDefault="000C017F" w:rsidP="000C017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Physical records, printed documents, archives, and confidential files;</w:t>
      </w:r>
    </w:p>
    <w:p w:rsidR="000C017F" w:rsidRPr="006825E1" w:rsidRDefault="000C017F" w:rsidP="000C017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staff, students, contractors, visiting academics, and third-party service providers;</w:t>
      </w:r>
    </w:p>
    <w:p w:rsidR="000C017F" w:rsidRPr="006825E1" w:rsidRDefault="000C017F" w:rsidP="000C017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data-dissemination activities, including publication, reporting, and analytics.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5. Guiding Principles</w:t>
      </w:r>
    </w:p>
    <w:p w:rsidR="000C017F" w:rsidRPr="006825E1" w:rsidRDefault="000C017F" w:rsidP="000C017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Confidentiality – Data must be protected from unauthorized access or disclosure.</w:t>
      </w:r>
    </w:p>
    <w:p w:rsidR="000C017F" w:rsidRPr="006825E1" w:rsidRDefault="000C017F" w:rsidP="000C017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Integrity – Data must remain accurate, consistent, and unaltered except through authorized processes.</w:t>
      </w:r>
    </w:p>
    <w:p w:rsidR="000C017F" w:rsidRPr="006825E1" w:rsidRDefault="000C017F" w:rsidP="000C017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Availability – Authorized users must have timely access to data for legitimate purposes.</w:t>
      </w:r>
    </w:p>
    <w:p w:rsidR="000C017F" w:rsidRPr="006825E1" w:rsidRDefault="000C017F" w:rsidP="000C017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Accountability – All users must follow data protection protocols and take responsibility for compliance.</w:t>
      </w:r>
    </w:p>
    <w:p w:rsidR="000C017F" w:rsidRPr="006825E1" w:rsidRDefault="000C017F" w:rsidP="000C017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Minimalism – Only the minimum required data shall be collected and retained.</w:t>
      </w:r>
    </w:p>
    <w:p w:rsidR="000C017F" w:rsidRPr="006825E1" w:rsidRDefault="000C017F" w:rsidP="000C017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Security by Design – Data systems must be designed with built-in security controls.</w:t>
      </w:r>
    </w:p>
    <w:p w:rsidR="000C017F" w:rsidRPr="006825E1" w:rsidRDefault="000C017F" w:rsidP="000C017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Compliance – Alignment with national laws, QAAC guidelines, and institutional frameworks.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6. Data Classification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Data at the University Division is classified into four categories:</w:t>
      </w:r>
    </w:p>
    <w:p w:rsidR="000C017F" w:rsidRPr="006825E1" w:rsidRDefault="000C017F" w:rsidP="000C017F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  <w:b/>
          <w:bCs/>
        </w:rPr>
        <w:t>Public Data</w:t>
      </w:r>
      <w:r w:rsidRPr="006825E1">
        <w:rPr>
          <w:rFonts w:asciiTheme="majorBidi" w:hAnsiTheme="majorBidi" w:cstheme="majorBidi"/>
        </w:rPr>
        <w:t xml:space="preserve"> – Information available openly (e.g., website content).</w:t>
      </w:r>
    </w:p>
    <w:p w:rsidR="000C017F" w:rsidRPr="006825E1" w:rsidRDefault="000C017F" w:rsidP="000C017F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  <w:b/>
          <w:bCs/>
        </w:rPr>
        <w:t>Internal Data</w:t>
      </w:r>
      <w:r w:rsidRPr="006825E1">
        <w:rPr>
          <w:rFonts w:asciiTheme="majorBidi" w:hAnsiTheme="majorBidi" w:cstheme="majorBidi"/>
        </w:rPr>
        <w:t xml:space="preserve"> – Non-sensitive administrative or academic information.</w:t>
      </w:r>
    </w:p>
    <w:p w:rsidR="000C017F" w:rsidRPr="006825E1" w:rsidRDefault="000C017F" w:rsidP="000C017F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  <w:b/>
          <w:bCs/>
        </w:rPr>
        <w:t>Confidential Data</w:t>
      </w:r>
      <w:r w:rsidRPr="006825E1">
        <w:rPr>
          <w:rFonts w:asciiTheme="majorBidi" w:hAnsiTheme="majorBidi" w:cstheme="majorBidi"/>
        </w:rPr>
        <w:t xml:space="preserve"> – Student records, staff files, examination results, research data.</w:t>
      </w:r>
    </w:p>
    <w:p w:rsidR="000C017F" w:rsidRPr="006825E1" w:rsidRDefault="000C017F" w:rsidP="000C017F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  <w:b/>
          <w:bCs/>
        </w:rPr>
        <w:t>Highly Sensitive Data</w:t>
      </w:r>
      <w:r w:rsidRPr="006825E1">
        <w:rPr>
          <w:rFonts w:asciiTheme="majorBidi" w:hAnsiTheme="majorBidi" w:cstheme="majorBidi"/>
        </w:rPr>
        <w:t xml:space="preserve"> – Financial records, health information, credentials, passwords, IP data.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Higher classification requires stronger protection mechanisms.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 Data Collection and Usage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lastRenderedPageBreak/>
        <w:t>7.1 Lawful and Ethical Data Collection</w:t>
      </w:r>
    </w:p>
    <w:p w:rsidR="000C017F" w:rsidRPr="006825E1" w:rsidRDefault="000C017F" w:rsidP="000C017F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Data collected only for legitimate academic, administrative, or legal purposes.</w:t>
      </w:r>
    </w:p>
    <w:p w:rsidR="000C017F" w:rsidRPr="006825E1" w:rsidRDefault="000C017F" w:rsidP="000C017F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Individuals informed about the purpose and usage of their data.</w:t>
      </w:r>
    </w:p>
    <w:p w:rsidR="000C017F" w:rsidRPr="006825E1" w:rsidRDefault="000C017F" w:rsidP="000C017F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Consent obtained where required.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7.2 Acceptable Use of Data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Data may only be used for:</w:t>
      </w:r>
    </w:p>
    <w:p w:rsidR="000C017F" w:rsidRPr="006825E1" w:rsidRDefault="000C017F" w:rsidP="000C017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Academic administration;</w:t>
      </w:r>
    </w:p>
    <w:p w:rsidR="000C017F" w:rsidRPr="006825E1" w:rsidRDefault="000C017F" w:rsidP="000C017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Teaching and learning activities;</w:t>
      </w:r>
    </w:p>
    <w:p w:rsidR="000C017F" w:rsidRPr="006825E1" w:rsidRDefault="000C017F" w:rsidP="000C017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Official reporting;</w:t>
      </w:r>
    </w:p>
    <w:p w:rsidR="000C017F" w:rsidRPr="006825E1" w:rsidRDefault="000C017F" w:rsidP="000C017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Research (with ethical approval);</w:t>
      </w:r>
    </w:p>
    <w:p w:rsidR="000C017F" w:rsidRPr="006825E1" w:rsidRDefault="000C017F" w:rsidP="000C017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Regulatory compliance;</w:t>
      </w:r>
    </w:p>
    <w:p w:rsidR="000C017F" w:rsidRPr="006825E1" w:rsidRDefault="000C017F" w:rsidP="000C017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Decision-making processes.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Misuse of data for personal gain or unauthorized activities is strictly prohibited.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 Data Storage and Access Control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8.1 Secure Storage</w:t>
      </w:r>
    </w:p>
    <w:p w:rsidR="000C017F" w:rsidRPr="006825E1" w:rsidRDefault="000C017F" w:rsidP="000C017F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Encrypted storage for digital records.</w:t>
      </w:r>
    </w:p>
    <w:p w:rsidR="000C017F" w:rsidRPr="006825E1" w:rsidRDefault="000C017F" w:rsidP="000C017F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Locked storage for physical documents.</w:t>
      </w:r>
    </w:p>
    <w:p w:rsidR="000C017F" w:rsidRPr="006825E1" w:rsidRDefault="000C017F" w:rsidP="000C017F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Access logs maintained for critical systems.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8.2 Access Rights</w:t>
      </w:r>
    </w:p>
    <w:p w:rsidR="000C017F" w:rsidRPr="006825E1" w:rsidRDefault="000C017F" w:rsidP="000C017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Role-based access control (RBAC) implemented.</w:t>
      </w:r>
    </w:p>
    <w:p w:rsidR="000C017F" w:rsidRPr="006825E1" w:rsidRDefault="000C017F" w:rsidP="000C017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Staff granted access based on job responsibilities.</w:t>
      </w:r>
    </w:p>
    <w:p w:rsidR="000C017F" w:rsidRPr="006825E1" w:rsidRDefault="000C017F" w:rsidP="000C017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Students may access their own records (e.g., results, personal data).</w:t>
      </w:r>
    </w:p>
    <w:p w:rsidR="000C017F" w:rsidRPr="006825E1" w:rsidRDefault="000C017F" w:rsidP="000C017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Third-party access only through formal agreements and confidentiality clauses.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8.3 Password and Authentication Requirements</w:t>
      </w:r>
    </w:p>
    <w:p w:rsidR="000C017F" w:rsidRPr="006825E1" w:rsidRDefault="000C017F" w:rsidP="000C017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Multi-factor authentication (MFA) for critical systems.</w:t>
      </w:r>
    </w:p>
    <w:p w:rsidR="000C017F" w:rsidRPr="006825E1" w:rsidRDefault="000C017F" w:rsidP="000C017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Strong password policies enforced.</w:t>
      </w:r>
    </w:p>
    <w:p w:rsidR="000C017F" w:rsidRPr="006825E1" w:rsidRDefault="000C017F" w:rsidP="000C017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Periodic credential updates required.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9. Data Sharing and Transfer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9.1 Internal Sharing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Shared only with staff who require data for official duties.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9.2 External Sharing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Permitted only:</w:t>
      </w:r>
    </w:p>
    <w:p w:rsidR="000C017F" w:rsidRPr="006825E1" w:rsidRDefault="000C017F" w:rsidP="000C017F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lastRenderedPageBreak/>
        <w:t>With legal or regulatory authorities;</w:t>
      </w:r>
    </w:p>
    <w:p w:rsidR="000C017F" w:rsidRPr="006825E1" w:rsidRDefault="000C017F" w:rsidP="000C017F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Through formal MoUs or agreements;</w:t>
      </w:r>
    </w:p>
    <w:p w:rsidR="000C017F" w:rsidRPr="006825E1" w:rsidRDefault="000C017F" w:rsidP="000C017F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With explicit consent (for personal data);</w:t>
      </w:r>
    </w:p>
    <w:p w:rsidR="000C017F" w:rsidRPr="006825E1" w:rsidRDefault="000C017F" w:rsidP="000C017F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Under strict confidentiality and security measures.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9.3 Data Transmission</w:t>
      </w:r>
    </w:p>
    <w:p w:rsidR="000C017F" w:rsidRPr="006825E1" w:rsidRDefault="000C017F" w:rsidP="000C017F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Secure file transfer protocols (SFTP/HTTPS).</w:t>
      </w:r>
    </w:p>
    <w:p w:rsidR="000C017F" w:rsidRPr="006825E1" w:rsidRDefault="000C017F" w:rsidP="000C017F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No sharing via personal email or unsecured platforms.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10. Data Retention and Disposal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10.1 Retention Guidelines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Retention based on:</w:t>
      </w:r>
    </w:p>
    <w:p w:rsidR="000C017F" w:rsidRPr="006825E1" w:rsidRDefault="000C017F" w:rsidP="000C017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Legal requirements,</w:t>
      </w:r>
    </w:p>
    <w:p w:rsidR="000C017F" w:rsidRPr="006825E1" w:rsidRDefault="000C017F" w:rsidP="000C017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Academic needs,</w:t>
      </w:r>
    </w:p>
    <w:p w:rsidR="000C017F" w:rsidRPr="006825E1" w:rsidRDefault="000C017F" w:rsidP="000C017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Research data management guidelines,</w:t>
      </w:r>
    </w:p>
    <w:p w:rsidR="000C017F" w:rsidRPr="006825E1" w:rsidRDefault="000C017F" w:rsidP="000C017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Institutional archiving policies.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10.2 Secure Disposal</w:t>
      </w:r>
    </w:p>
    <w:p w:rsidR="000C017F" w:rsidRPr="006825E1" w:rsidRDefault="000C017F" w:rsidP="000C017F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Shredding for physical files.</w:t>
      </w:r>
    </w:p>
    <w:p w:rsidR="000C017F" w:rsidRPr="006825E1" w:rsidRDefault="000C017F" w:rsidP="000C017F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Permanent deletion for electronic records.</w:t>
      </w:r>
    </w:p>
    <w:p w:rsidR="000C017F" w:rsidRPr="006825E1" w:rsidRDefault="000C017F" w:rsidP="000C017F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Disposal records maintained by custodial units.</w:t>
      </w:r>
    </w:p>
    <w:p w:rsidR="000C017F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11. Cybersecurity and IT Governance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11.1 ICT Security Controls</w:t>
      </w:r>
    </w:p>
    <w:p w:rsidR="000C017F" w:rsidRPr="006825E1" w:rsidRDefault="000C017F" w:rsidP="000C017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Firewalls, antivirus, intrusion detection systems.</w:t>
      </w:r>
    </w:p>
    <w:p w:rsidR="000C017F" w:rsidRPr="006825E1" w:rsidRDefault="000C017F" w:rsidP="000C017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Regular vulnerability scans and penetration testing.</w:t>
      </w:r>
    </w:p>
    <w:p w:rsidR="000C017F" w:rsidRPr="006825E1" w:rsidRDefault="000C017F" w:rsidP="000C017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Backup systems and disaster recovery plans.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11.2 LMS, SIS, Email, and Digital Platforms</w:t>
      </w:r>
    </w:p>
    <w:p w:rsidR="000C017F" w:rsidRPr="006825E1" w:rsidRDefault="000C017F" w:rsidP="000C017F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Use monitored for unauthorized access or misuse.</w:t>
      </w:r>
    </w:p>
    <w:p w:rsidR="000C017F" w:rsidRPr="006825E1" w:rsidRDefault="000C017F" w:rsidP="000C017F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Prohibition on sharing login credentials.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11.3 Incident Response</w:t>
      </w:r>
    </w:p>
    <w:p w:rsidR="000C017F" w:rsidRPr="006825E1" w:rsidRDefault="000C017F" w:rsidP="000C017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Cybersecurity incidents reported immediately to the ICT Division.</w:t>
      </w:r>
    </w:p>
    <w:p w:rsidR="000C017F" w:rsidRPr="006825E1" w:rsidRDefault="000C017F" w:rsidP="000C017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DGSC conducts investigation and recommends mitigation.</w:t>
      </w:r>
    </w:p>
    <w:p w:rsidR="000C017F" w:rsidRPr="006825E1" w:rsidRDefault="000C017F" w:rsidP="000C017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Serious breaches reported to the Senate and Governing Board.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12. Confidentiality Obligations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lastRenderedPageBreak/>
        <w:t>12.1 Staff Responsibilities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Staff must:</w:t>
      </w:r>
    </w:p>
    <w:p w:rsidR="000C017F" w:rsidRPr="006825E1" w:rsidRDefault="000C017F" w:rsidP="000C017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Sign confidentiality agreements;</w:t>
      </w:r>
    </w:p>
    <w:p w:rsidR="000C017F" w:rsidRPr="006825E1" w:rsidRDefault="000C017F" w:rsidP="000C017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Protect data entrusted to them;</w:t>
      </w:r>
    </w:p>
    <w:p w:rsidR="000C017F" w:rsidRPr="006825E1" w:rsidRDefault="000C017F" w:rsidP="000C017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Avoid discussing confidential matters in public or online;</w:t>
      </w:r>
    </w:p>
    <w:p w:rsidR="000C017F" w:rsidRPr="006825E1" w:rsidRDefault="000C017F" w:rsidP="000C017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Use institutional systems only for official work.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12.2 Student Responsibilities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Students must:</w:t>
      </w:r>
    </w:p>
    <w:p w:rsidR="000C017F" w:rsidRPr="006825E1" w:rsidRDefault="000C017F" w:rsidP="000C017F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Protect their credentials;</w:t>
      </w:r>
    </w:p>
    <w:p w:rsidR="000C017F" w:rsidRPr="006825E1" w:rsidRDefault="000C017F" w:rsidP="000C017F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Avoid unauthorized access or sharing of institutional data;</w:t>
      </w:r>
    </w:p>
    <w:p w:rsidR="000C017F" w:rsidRPr="006825E1" w:rsidRDefault="000C017F" w:rsidP="000C017F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Seek permission before using data for research.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12.3 Third-Party Obligations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Vendors and contractors must:</w:t>
      </w:r>
    </w:p>
    <w:p w:rsidR="000C017F" w:rsidRPr="006825E1" w:rsidRDefault="000C017F" w:rsidP="000C017F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Sign Data Processing or Confidentiality Agreements;</w:t>
      </w:r>
    </w:p>
    <w:p w:rsidR="000C017F" w:rsidRPr="006825E1" w:rsidRDefault="000C017F" w:rsidP="000C017F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Follow institutional data protection standards.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sz w:val="12"/>
          <w:szCs w:val="12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13. Training, Awareness, and Compliance</w:t>
      </w:r>
    </w:p>
    <w:p w:rsidR="000C017F" w:rsidRPr="006825E1" w:rsidRDefault="000C017F" w:rsidP="000C017F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Mandatory data protection training for new staff and students.</w:t>
      </w:r>
    </w:p>
    <w:p w:rsidR="000C017F" w:rsidRPr="006825E1" w:rsidRDefault="000C017F" w:rsidP="000C017F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Annual cybersecurity awareness </w:t>
      </w:r>
      <w:proofErr w:type="spellStart"/>
      <w:r w:rsidRPr="006825E1">
        <w:rPr>
          <w:rFonts w:asciiTheme="majorBidi" w:hAnsiTheme="majorBidi" w:cstheme="majorBidi"/>
        </w:rPr>
        <w:t>programmes</w:t>
      </w:r>
      <w:proofErr w:type="spellEnd"/>
      <w:r w:rsidRPr="006825E1">
        <w:rPr>
          <w:rFonts w:asciiTheme="majorBidi" w:hAnsiTheme="majorBidi" w:cstheme="majorBidi"/>
        </w:rPr>
        <w:t>.</w:t>
      </w:r>
    </w:p>
    <w:p w:rsidR="000C017F" w:rsidRPr="006825E1" w:rsidRDefault="000C017F" w:rsidP="000C017F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Workshops on LMS, SIS, and digital platforms.</w:t>
      </w:r>
    </w:p>
    <w:p w:rsidR="000C017F" w:rsidRPr="006825E1" w:rsidRDefault="000C017F" w:rsidP="000C017F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Compliance monitored by DGSC and IQAC.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14. Monitoring, Audit, and Quality Assurance</w:t>
      </w:r>
    </w:p>
    <w:p w:rsidR="000C017F" w:rsidRPr="006825E1" w:rsidRDefault="000C017F" w:rsidP="000C017F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DGSC conducts periodic data audits.</w:t>
      </w:r>
    </w:p>
    <w:p w:rsidR="000C017F" w:rsidRPr="006825E1" w:rsidRDefault="000C017F" w:rsidP="000C017F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ICT Division performs cybersecurity assessments.</w:t>
      </w:r>
    </w:p>
    <w:p w:rsidR="000C017F" w:rsidRPr="006825E1" w:rsidRDefault="000C017F" w:rsidP="000C017F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IQAC integrates data governance indicators into institutional QA reports.</w:t>
      </w:r>
    </w:p>
    <w:p w:rsidR="000C017F" w:rsidRPr="006825E1" w:rsidRDefault="000C017F" w:rsidP="000C017F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Violations investigated promptly with disciplinary actions enforced.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15.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6747"/>
      </w:tblGrid>
      <w:tr w:rsidR="000C017F" w:rsidRPr="006825E1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0C017F" w:rsidRPr="006825E1" w:rsidTr="00D55684"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Oversees data governance framework and approves related policies.</w:t>
            </w:r>
          </w:p>
        </w:tc>
      </w:tr>
      <w:tr w:rsidR="000C017F" w:rsidRPr="006825E1" w:rsidTr="00D55684"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Ensures academic data integrity and compliance.</w:t>
            </w:r>
          </w:p>
        </w:tc>
      </w:tr>
      <w:tr w:rsidR="000C017F" w:rsidRPr="006825E1" w:rsidTr="00D55684"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Monitors policy implementation and quality assurance alignment.</w:t>
            </w:r>
          </w:p>
        </w:tc>
      </w:tr>
      <w:tr w:rsidR="000C017F" w:rsidRPr="006825E1" w:rsidTr="00D55684"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DGSC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Leads data governance, security audits, and incident response.</w:t>
            </w:r>
          </w:p>
        </w:tc>
      </w:tr>
      <w:tr w:rsidR="000C017F" w:rsidRPr="006825E1" w:rsidTr="00D55684"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ICT Division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Implements technical security controls and system management.</w:t>
            </w:r>
          </w:p>
        </w:tc>
      </w:tr>
      <w:tr w:rsidR="000C017F" w:rsidRPr="006825E1" w:rsidTr="00D55684"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lastRenderedPageBreak/>
              <w:t>HR Division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Ensures confidentiality agreements and staff compliance.</w:t>
            </w:r>
          </w:p>
        </w:tc>
      </w:tr>
      <w:tr w:rsidR="000C017F" w:rsidRPr="006825E1" w:rsidTr="00D55684"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Manage data within their units and ensure adherence.</w:t>
            </w:r>
          </w:p>
        </w:tc>
      </w:tr>
      <w:tr w:rsidR="000C017F" w:rsidRPr="006825E1" w:rsidTr="00D55684"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Staff &amp; Students</w:t>
            </w:r>
          </w:p>
        </w:tc>
        <w:tc>
          <w:tcPr>
            <w:tcW w:w="0" w:type="auto"/>
            <w:hideMark/>
          </w:tcPr>
          <w:p w:rsidR="000C017F" w:rsidRPr="006825E1" w:rsidRDefault="000C017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Protect data, follow guidelines, and report breaches.</w:t>
            </w:r>
          </w:p>
        </w:tc>
      </w:tr>
    </w:tbl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16. Review and Amendment</w:t>
      </w:r>
    </w:p>
    <w:p w:rsidR="000C017F" w:rsidRPr="006825E1" w:rsidRDefault="000C017F" w:rsidP="000C017F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Policy reviewed every </w:t>
      </w:r>
      <w:r w:rsidRPr="006825E1">
        <w:rPr>
          <w:rFonts w:asciiTheme="majorBidi" w:hAnsiTheme="majorBidi" w:cstheme="majorBidi"/>
          <w:b/>
          <w:bCs/>
        </w:rPr>
        <w:t>three (3) years</w:t>
      </w:r>
      <w:r w:rsidRPr="006825E1">
        <w:rPr>
          <w:rFonts w:asciiTheme="majorBidi" w:hAnsiTheme="majorBidi" w:cstheme="majorBidi"/>
        </w:rPr>
        <w:t xml:space="preserve"> or earlier based on technological, legal, or institutional needs.</w:t>
      </w:r>
    </w:p>
    <w:p w:rsidR="000C017F" w:rsidRPr="006825E1" w:rsidRDefault="000C017F" w:rsidP="000C017F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Amendments proposed by DGSC → endorsed by IQAC → approved by Governing Board.</w:t>
      </w:r>
    </w:p>
    <w:p w:rsidR="000C017F" w:rsidRPr="006825E1" w:rsidRDefault="000C017F" w:rsidP="000C017F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All updates recorded in the </w:t>
      </w:r>
      <w:r w:rsidRPr="006825E1">
        <w:rPr>
          <w:rFonts w:asciiTheme="majorBidi" w:hAnsiTheme="majorBidi" w:cstheme="majorBidi"/>
          <w:b/>
          <w:bCs/>
        </w:rPr>
        <w:t>Policy Version Register</w:t>
      </w:r>
      <w:r w:rsidRPr="006825E1">
        <w:rPr>
          <w:rFonts w:asciiTheme="majorBidi" w:hAnsiTheme="majorBidi" w:cstheme="majorBidi"/>
        </w:rPr>
        <w:t>.</w:t>
      </w: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0C017F" w:rsidRPr="006825E1" w:rsidRDefault="000C017F" w:rsidP="000C01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17. Related Documents</w:t>
      </w:r>
    </w:p>
    <w:p w:rsidR="000C017F" w:rsidRPr="006825E1" w:rsidRDefault="000C017F" w:rsidP="000C017F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ICT Infrastructure and Acceptable Use Policy</w:t>
      </w:r>
    </w:p>
    <w:p w:rsidR="000C017F" w:rsidRPr="006825E1" w:rsidRDefault="000C017F" w:rsidP="000C017F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Research Data Management and Ethics Policy</w:t>
      </w:r>
    </w:p>
    <w:p w:rsidR="000C017F" w:rsidRPr="006825E1" w:rsidRDefault="000C017F" w:rsidP="000C017F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Internal Audit and Continuous Improvement Policy</w:t>
      </w:r>
    </w:p>
    <w:p w:rsidR="000C017F" w:rsidRPr="006825E1" w:rsidRDefault="000C017F" w:rsidP="000C017F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Risk Management and Sustainability Policy</w:t>
      </w:r>
    </w:p>
    <w:p w:rsidR="000C017F" w:rsidRPr="006825E1" w:rsidRDefault="000C017F" w:rsidP="000C017F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Examination and Academic Integrity Policies</w:t>
      </w:r>
    </w:p>
    <w:p w:rsidR="000C017F" w:rsidRPr="006825E1" w:rsidRDefault="000C017F" w:rsidP="000C017F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HR and Confidentiality Agreements</w:t>
      </w:r>
    </w:p>
    <w:p w:rsidR="000C017F" w:rsidRPr="006825E1" w:rsidRDefault="000C017F" w:rsidP="000C017F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QAAC Institutional Review Guidelines</w:t>
      </w:r>
    </w:p>
    <w:p w:rsidR="000C017F" w:rsidRPr="006825E1" w:rsidRDefault="000C017F" w:rsidP="000C017F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National Data Protection Laws of Sri Lanka</w:t>
      </w:r>
    </w:p>
    <w:p w:rsidR="00AC76E0" w:rsidRPr="000C017F" w:rsidRDefault="000C017F" w:rsidP="000C017F"/>
    <w:sectPr w:rsidR="00AC76E0" w:rsidRPr="000C0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7C3"/>
    <w:multiLevelType w:val="multilevel"/>
    <w:tmpl w:val="CBA4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F0C02"/>
    <w:multiLevelType w:val="multilevel"/>
    <w:tmpl w:val="95B8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120F7"/>
    <w:multiLevelType w:val="multilevel"/>
    <w:tmpl w:val="C1E8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26A04"/>
    <w:multiLevelType w:val="multilevel"/>
    <w:tmpl w:val="CCAE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607BF"/>
    <w:multiLevelType w:val="multilevel"/>
    <w:tmpl w:val="D994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4286A"/>
    <w:multiLevelType w:val="multilevel"/>
    <w:tmpl w:val="4BF8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E7A02"/>
    <w:multiLevelType w:val="multilevel"/>
    <w:tmpl w:val="D2AC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332AF"/>
    <w:multiLevelType w:val="multilevel"/>
    <w:tmpl w:val="278E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A7E24"/>
    <w:multiLevelType w:val="multilevel"/>
    <w:tmpl w:val="F0D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D731B"/>
    <w:multiLevelType w:val="multilevel"/>
    <w:tmpl w:val="4C1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36241"/>
    <w:multiLevelType w:val="multilevel"/>
    <w:tmpl w:val="32FE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A310C"/>
    <w:multiLevelType w:val="multilevel"/>
    <w:tmpl w:val="A88E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D6A1C"/>
    <w:multiLevelType w:val="multilevel"/>
    <w:tmpl w:val="E044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8371E"/>
    <w:multiLevelType w:val="multilevel"/>
    <w:tmpl w:val="7E8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D1E22"/>
    <w:multiLevelType w:val="multilevel"/>
    <w:tmpl w:val="851C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132C1"/>
    <w:multiLevelType w:val="multilevel"/>
    <w:tmpl w:val="B32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5E0907"/>
    <w:multiLevelType w:val="multilevel"/>
    <w:tmpl w:val="1298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862C3"/>
    <w:multiLevelType w:val="multilevel"/>
    <w:tmpl w:val="4C02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54DB8"/>
    <w:multiLevelType w:val="multilevel"/>
    <w:tmpl w:val="BA2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100DA"/>
    <w:multiLevelType w:val="multilevel"/>
    <w:tmpl w:val="BD44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43696"/>
    <w:multiLevelType w:val="multilevel"/>
    <w:tmpl w:val="B48C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01C9B"/>
    <w:multiLevelType w:val="multilevel"/>
    <w:tmpl w:val="3F1E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8689D"/>
    <w:multiLevelType w:val="multilevel"/>
    <w:tmpl w:val="450A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C29CA"/>
    <w:multiLevelType w:val="multilevel"/>
    <w:tmpl w:val="B27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10"/>
  </w:num>
  <w:num w:numId="7">
    <w:abstractNumId w:val="20"/>
  </w:num>
  <w:num w:numId="8">
    <w:abstractNumId w:val="14"/>
  </w:num>
  <w:num w:numId="9">
    <w:abstractNumId w:val="12"/>
  </w:num>
  <w:num w:numId="10">
    <w:abstractNumId w:val="21"/>
  </w:num>
  <w:num w:numId="11">
    <w:abstractNumId w:val="0"/>
  </w:num>
  <w:num w:numId="12">
    <w:abstractNumId w:val="19"/>
  </w:num>
  <w:num w:numId="13">
    <w:abstractNumId w:val="4"/>
  </w:num>
  <w:num w:numId="14">
    <w:abstractNumId w:val="5"/>
  </w:num>
  <w:num w:numId="15">
    <w:abstractNumId w:val="7"/>
  </w:num>
  <w:num w:numId="16">
    <w:abstractNumId w:val="23"/>
  </w:num>
  <w:num w:numId="17">
    <w:abstractNumId w:val="9"/>
  </w:num>
  <w:num w:numId="18">
    <w:abstractNumId w:val="18"/>
  </w:num>
  <w:num w:numId="19">
    <w:abstractNumId w:val="22"/>
  </w:num>
  <w:num w:numId="20">
    <w:abstractNumId w:val="8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357022"/>
    <w:rsid w:val="003712F0"/>
    <w:rsid w:val="005614C5"/>
    <w:rsid w:val="009A517E"/>
    <w:rsid w:val="00B92D1D"/>
    <w:rsid w:val="00D168DA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2025-12-15T10:26:00Z</dcterms:created>
  <dcterms:modified xsi:type="dcterms:W3CDTF">2025-12-15T10:26:00Z</dcterms:modified>
</cp:coreProperties>
</file>