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F8" w:rsidRPr="00B22C8C" w:rsidRDefault="00FE0EF8" w:rsidP="00FE0EF8">
      <w:pPr>
        <w:spacing w:after="0" w:line="360" w:lineRule="auto"/>
        <w:jc w:val="both"/>
        <w:rPr>
          <w:rFonts w:asciiTheme="majorBidi" w:hAnsiTheme="majorBidi" w:cstheme="majorBidi"/>
          <w:b/>
          <w:bCs/>
        </w:rPr>
      </w:pPr>
      <w:proofErr w:type="spellStart"/>
      <w:r w:rsidRPr="00B22C8C">
        <w:rPr>
          <w:rFonts w:asciiTheme="majorBidi" w:hAnsiTheme="majorBidi" w:cstheme="majorBidi"/>
          <w:b/>
          <w:bCs/>
        </w:rPr>
        <w:t>Infortec</w:t>
      </w:r>
      <w:proofErr w:type="spellEnd"/>
      <w:r w:rsidRPr="00B22C8C">
        <w:rPr>
          <w:rFonts w:asciiTheme="majorBidi" w:hAnsiTheme="majorBidi" w:cstheme="majorBidi"/>
          <w:b/>
          <w:bCs/>
        </w:rPr>
        <w:t xml:space="preserve"> International Technologies (University Division)</w:t>
      </w:r>
    </w:p>
    <w:p w:rsidR="00FE0EF8" w:rsidRPr="00B22C8C" w:rsidRDefault="00FE0EF8" w:rsidP="00FE0EF8">
      <w:pPr>
        <w:spacing w:after="0" w:line="360" w:lineRule="auto"/>
        <w:jc w:val="both"/>
        <w:rPr>
          <w:rFonts w:asciiTheme="majorBidi" w:hAnsiTheme="majorBidi" w:cstheme="majorBidi"/>
          <w:b/>
          <w:bCs/>
        </w:rPr>
      </w:pPr>
      <w:bookmarkStart w:id="0" w:name="_GoBack"/>
      <w:r w:rsidRPr="00B22C8C">
        <w:rPr>
          <w:rFonts w:asciiTheme="majorBidi" w:hAnsiTheme="majorBidi" w:cstheme="majorBidi"/>
          <w:b/>
          <w:bCs/>
        </w:rPr>
        <w:t>Community Engagement, Industry Partnerships, and Corporate Social Responsibility (CSR) Policy</w:t>
      </w:r>
    </w:p>
    <w:bookmarkEnd w:id="0"/>
    <w:p w:rsidR="00FE0EF8" w:rsidRDefault="00FE0EF8" w:rsidP="00FE0EF8">
      <w:pPr>
        <w:spacing w:after="0" w:line="360" w:lineRule="auto"/>
        <w:jc w:val="both"/>
        <w:rPr>
          <w:rFonts w:asciiTheme="majorBidi" w:hAnsiTheme="majorBidi" w:cstheme="majorBidi"/>
          <w:b/>
          <w:bCs/>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 xml:space="preserve">Policy Number: </w:t>
      </w:r>
      <w:proofErr w:type="spellStart"/>
      <w:r w:rsidRPr="00B22C8C">
        <w:rPr>
          <w:rFonts w:asciiTheme="majorBidi" w:hAnsiTheme="majorBidi" w:cstheme="majorBidi"/>
        </w:rPr>
        <w:t>Infortec</w:t>
      </w:r>
      <w:proofErr w:type="spellEnd"/>
      <w:r w:rsidRPr="00B22C8C">
        <w:rPr>
          <w:rFonts w:asciiTheme="majorBidi" w:hAnsiTheme="majorBidi" w:cstheme="majorBidi"/>
        </w:rPr>
        <w:t>/IQAC/P/028/11/25</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Document Control</w:t>
      </w:r>
    </w:p>
    <w:tbl>
      <w:tblPr>
        <w:tblStyle w:val="TableGrid"/>
        <w:tblW w:w="0" w:type="auto"/>
        <w:tblLook w:val="04A0" w:firstRow="1" w:lastRow="0" w:firstColumn="1" w:lastColumn="0" w:noHBand="0" w:noVBand="1"/>
      </w:tblPr>
      <w:tblGrid>
        <w:gridCol w:w="995"/>
        <w:gridCol w:w="1358"/>
        <w:gridCol w:w="3304"/>
        <w:gridCol w:w="1718"/>
        <w:gridCol w:w="1641"/>
      </w:tblGrid>
      <w:tr w:rsidR="00FE0EF8" w:rsidRPr="00B22C8C" w:rsidTr="00D55684">
        <w:tc>
          <w:tcPr>
            <w:tcW w:w="0" w:type="auto"/>
            <w:shd w:val="clear" w:color="auto" w:fill="2F5496" w:themeFill="accent1" w:themeFillShade="BF"/>
            <w:hideMark/>
          </w:tcPr>
          <w:p w:rsidR="00FE0EF8" w:rsidRPr="00B22C8C" w:rsidRDefault="00FE0EF8" w:rsidP="00D55684">
            <w:pPr>
              <w:spacing w:line="360" w:lineRule="auto"/>
              <w:jc w:val="both"/>
              <w:rPr>
                <w:rFonts w:asciiTheme="majorBidi" w:hAnsiTheme="majorBidi" w:cstheme="majorBidi"/>
                <w:b/>
                <w:bCs/>
              </w:rPr>
            </w:pPr>
            <w:r w:rsidRPr="00B22C8C">
              <w:rPr>
                <w:rFonts w:asciiTheme="majorBidi" w:hAnsiTheme="majorBidi" w:cstheme="majorBidi"/>
                <w:b/>
                <w:bCs/>
              </w:rPr>
              <w:t>Version</w:t>
            </w:r>
          </w:p>
        </w:tc>
        <w:tc>
          <w:tcPr>
            <w:tcW w:w="0" w:type="auto"/>
            <w:shd w:val="clear" w:color="auto" w:fill="2F5496" w:themeFill="accent1" w:themeFillShade="BF"/>
            <w:hideMark/>
          </w:tcPr>
          <w:p w:rsidR="00FE0EF8" w:rsidRPr="00B22C8C" w:rsidRDefault="00FE0EF8" w:rsidP="00D55684">
            <w:pPr>
              <w:spacing w:line="360" w:lineRule="auto"/>
              <w:jc w:val="both"/>
              <w:rPr>
                <w:rFonts w:asciiTheme="majorBidi" w:hAnsiTheme="majorBidi" w:cstheme="majorBidi"/>
                <w:b/>
                <w:bCs/>
              </w:rPr>
            </w:pPr>
            <w:r w:rsidRPr="00B22C8C">
              <w:rPr>
                <w:rFonts w:asciiTheme="majorBidi" w:hAnsiTheme="majorBidi" w:cstheme="majorBidi"/>
                <w:b/>
                <w:bCs/>
              </w:rPr>
              <w:t>Date</w:t>
            </w:r>
          </w:p>
        </w:tc>
        <w:tc>
          <w:tcPr>
            <w:tcW w:w="0" w:type="auto"/>
            <w:shd w:val="clear" w:color="auto" w:fill="2F5496" w:themeFill="accent1" w:themeFillShade="BF"/>
            <w:hideMark/>
          </w:tcPr>
          <w:p w:rsidR="00FE0EF8" w:rsidRPr="00B22C8C" w:rsidRDefault="00FE0EF8" w:rsidP="00D55684">
            <w:pPr>
              <w:spacing w:line="360" w:lineRule="auto"/>
              <w:jc w:val="both"/>
              <w:rPr>
                <w:rFonts w:asciiTheme="majorBidi" w:hAnsiTheme="majorBidi" w:cstheme="majorBidi"/>
                <w:b/>
                <w:bCs/>
              </w:rPr>
            </w:pPr>
            <w:r w:rsidRPr="00B22C8C">
              <w:rPr>
                <w:rFonts w:asciiTheme="majorBidi" w:hAnsiTheme="majorBidi" w:cstheme="majorBidi"/>
                <w:b/>
                <w:bCs/>
              </w:rPr>
              <w:t>Prepared by</w:t>
            </w:r>
          </w:p>
        </w:tc>
        <w:tc>
          <w:tcPr>
            <w:tcW w:w="0" w:type="auto"/>
            <w:shd w:val="clear" w:color="auto" w:fill="2F5496" w:themeFill="accent1" w:themeFillShade="BF"/>
            <w:hideMark/>
          </w:tcPr>
          <w:p w:rsidR="00FE0EF8" w:rsidRPr="00B22C8C" w:rsidRDefault="00FE0EF8" w:rsidP="00D55684">
            <w:pPr>
              <w:spacing w:line="360" w:lineRule="auto"/>
              <w:jc w:val="both"/>
              <w:rPr>
                <w:rFonts w:asciiTheme="majorBidi" w:hAnsiTheme="majorBidi" w:cstheme="majorBidi"/>
                <w:b/>
                <w:bCs/>
              </w:rPr>
            </w:pPr>
            <w:r w:rsidRPr="00B22C8C">
              <w:rPr>
                <w:rFonts w:asciiTheme="majorBidi" w:hAnsiTheme="majorBidi" w:cstheme="majorBidi"/>
                <w:b/>
                <w:bCs/>
              </w:rPr>
              <w:t>Approved by</w:t>
            </w:r>
          </w:p>
        </w:tc>
        <w:tc>
          <w:tcPr>
            <w:tcW w:w="0" w:type="auto"/>
            <w:shd w:val="clear" w:color="auto" w:fill="2F5496" w:themeFill="accent1" w:themeFillShade="BF"/>
            <w:hideMark/>
          </w:tcPr>
          <w:p w:rsidR="00FE0EF8" w:rsidRPr="00B22C8C" w:rsidRDefault="00FE0EF8" w:rsidP="00D55684">
            <w:pPr>
              <w:spacing w:line="360" w:lineRule="auto"/>
              <w:jc w:val="both"/>
              <w:rPr>
                <w:rFonts w:asciiTheme="majorBidi" w:hAnsiTheme="majorBidi" w:cstheme="majorBidi"/>
                <w:b/>
                <w:bCs/>
              </w:rPr>
            </w:pPr>
            <w:r w:rsidRPr="00B22C8C">
              <w:rPr>
                <w:rFonts w:asciiTheme="majorBidi" w:hAnsiTheme="majorBidi" w:cstheme="majorBidi"/>
                <w:b/>
                <w:bCs/>
              </w:rPr>
              <w:t>Next Review</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1.0</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[Month Year]</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Internal Quality Assurance Cell (IQAC)</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Governing Board</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[Month Year + 3]</w:t>
            </w:r>
          </w:p>
        </w:tc>
      </w:tr>
    </w:tbl>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1. Preamble</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Community engagement, industry partnerships, and corporate social responsibility (CSR) are essential components of a modern higher education institution.</w:t>
      </w:r>
      <w:r w:rsidRPr="00B22C8C">
        <w:rPr>
          <w:rFonts w:asciiTheme="majorBidi" w:hAnsiTheme="majorBidi" w:cstheme="majorBidi"/>
        </w:rPr>
        <w:br/>
      </w:r>
      <w:proofErr w:type="spellStart"/>
      <w:r w:rsidRPr="00B22C8C">
        <w:rPr>
          <w:rFonts w:asciiTheme="majorBidi" w:hAnsiTheme="majorBidi" w:cstheme="majorBidi"/>
        </w:rPr>
        <w:t>Infortec</w:t>
      </w:r>
      <w:proofErr w:type="spellEnd"/>
      <w:r w:rsidRPr="00B22C8C">
        <w:rPr>
          <w:rFonts w:asciiTheme="majorBidi" w:hAnsiTheme="majorBidi" w:cstheme="majorBidi"/>
        </w:rPr>
        <w:t xml:space="preserve"> International Technologies (University Division) recognizes its responsibility to contribute to societal development, foster strong industry collaborations, support national priorities, and encourage the application of knowledge for community benefit.</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This policy establishes a structured framework for building sustainable partnerships, encouraging civic responsibility, and strengthening the university’s role in the community, in alignment with QAAC standards, national development goals, and global practices such as UN SDG 4, SDG 8, and SDG 17.</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2. Policy Statement</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The University Division is committed to meaningful, collaborative, and sustainable engagement with industry partners, government bodies, NGOs, schools, and local communities.</w:t>
      </w:r>
      <w:r w:rsidRPr="00B22C8C">
        <w:rPr>
          <w:rFonts w:asciiTheme="majorBidi" w:hAnsiTheme="majorBidi" w:cstheme="majorBidi"/>
        </w:rPr>
        <w:br/>
        <w:t>All outreach and partnership initiatives shall support teaching, research, innovation, student development, and community empowerment.</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3. Objectives</w:t>
      </w:r>
    </w:p>
    <w:p w:rsidR="00FE0EF8" w:rsidRPr="00B22C8C" w:rsidRDefault="00FE0EF8" w:rsidP="00FE0EF8">
      <w:pPr>
        <w:numPr>
          <w:ilvl w:val="0"/>
          <w:numId w:val="24"/>
        </w:numPr>
        <w:spacing w:after="0" w:line="360" w:lineRule="auto"/>
        <w:jc w:val="both"/>
        <w:rPr>
          <w:rFonts w:asciiTheme="majorBidi" w:hAnsiTheme="majorBidi" w:cstheme="majorBidi"/>
        </w:rPr>
      </w:pPr>
      <w:r w:rsidRPr="00B22C8C">
        <w:rPr>
          <w:rFonts w:asciiTheme="majorBidi" w:hAnsiTheme="majorBidi" w:cstheme="majorBidi"/>
        </w:rPr>
        <w:t>To strengthen partnerships with industry and external stakeholders for academic, research, and employment benefits.</w:t>
      </w:r>
    </w:p>
    <w:p w:rsidR="00FE0EF8" w:rsidRPr="00B22C8C" w:rsidRDefault="00FE0EF8" w:rsidP="00FE0EF8">
      <w:pPr>
        <w:numPr>
          <w:ilvl w:val="0"/>
          <w:numId w:val="24"/>
        </w:numPr>
        <w:spacing w:after="0" w:line="360" w:lineRule="auto"/>
        <w:jc w:val="both"/>
        <w:rPr>
          <w:rFonts w:asciiTheme="majorBidi" w:hAnsiTheme="majorBidi" w:cstheme="majorBidi"/>
        </w:rPr>
      </w:pPr>
      <w:r w:rsidRPr="00B22C8C">
        <w:rPr>
          <w:rFonts w:asciiTheme="majorBidi" w:hAnsiTheme="majorBidi" w:cstheme="majorBidi"/>
        </w:rPr>
        <w:t>To promote community engagement and social responsibility among students and staff.</w:t>
      </w:r>
    </w:p>
    <w:p w:rsidR="00FE0EF8" w:rsidRPr="00B22C8C" w:rsidRDefault="00FE0EF8" w:rsidP="00FE0EF8">
      <w:pPr>
        <w:numPr>
          <w:ilvl w:val="0"/>
          <w:numId w:val="24"/>
        </w:numPr>
        <w:spacing w:after="0" w:line="360" w:lineRule="auto"/>
        <w:jc w:val="both"/>
        <w:rPr>
          <w:rFonts w:asciiTheme="majorBidi" w:hAnsiTheme="majorBidi" w:cstheme="majorBidi"/>
        </w:rPr>
      </w:pPr>
      <w:r w:rsidRPr="00B22C8C">
        <w:rPr>
          <w:rFonts w:asciiTheme="majorBidi" w:hAnsiTheme="majorBidi" w:cstheme="majorBidi"/>
        </w:rPr>
        <w:lastRenderedPageBreak/>
        <w:t>To encourage CSR initiatives that address societal, environmental, and economic challenges.</w:t>
      </w:r>
    </w:p>
    <w:p w:rsidR="00FE0EF8" w:rsidRPr="00B22C8C" w:rsidRDefault="00FE0EF8" w:rsidP="00FE0EF8">
      <w:pPr>
        <w:numPr>
          <w:ilvl w:val="0"/>
          <w:numId w:val="24"/>
        </w:numPr>
        <w:spacing w:after="0" w:line="360" w:lineRule="auto"/>
        <w:jc w:val="both"/>
        <w:rPr>
          <w:rFonts w:asciiTheme="majorBidi" w:hAnsiTheme="majorBidi" w:cstheme="majorBidi"/>
        </w:rPr>
      </w:pPr>
      <w:r w:rsidRPr="00B22C8C">
        <w:rPr>
          <w:rFonts w:asciiTheme="majorBidi" w:hAnsiTheme="majorBidi" w:cstheme="majorBidi"/>
        </w:rPr>
        <w:t>To integrate community engagement and industry collaboration into the institutional quality assurance system.</w:t>
      </w:r>
    </w:p>
    <w:p w:rsidR="00FE0EF8" w:rsidRPr="00B22C8C" w:rsidRDefault="00FE0EF8" w:rsidP="00FE0EF8">
      <w:pPr>
        <w:numPr>
          <w:ilvl w:val="0"/>
          <w:numId w:val="24"/>
        </w:numPr>
        <w:spacing w:after="0" w:line="360" w:lineRule="auto"/>
        <w:jc w:val="both"/>
        <w:rPr>
          <w:rFonts w:asciiTheme="majorBidi" w:hAnsiTheme="majorBidi" w:cstheme="majorBidi"/>
        </w:rPr>
      </w:pPr>
      <w:r w:rsidRPr="00B22C8C">
        <w:rPr>
          <w:rFonts w:asciiTheme="majorBidi" w:hAnsiTheme="majorBidi" w:cstheme="majorBidi"/>
        </w:rPr>
        <w:t>To support national development priorities and local community needs.</w:t>
      </w:r>
    </w:p>
    <w:p w:rsidR="00FE0EF8" w:rsidRPr="00B22C8C" w:rsidRDefault="00FE0EF8" w:rsidP="00FE0EF8">
      <w:pPr>
        <w:numPr>
          <w:ilvl w:val="0"/>
          <w:numId w:val="24"/>
        </w:numPr>
        <w:spacing w:after="0" w:line="360" w:lineRule="auto"/>
        <w:jc w:val="both"/>
        <w:rPr>
          <w:rFonts w:asciiTheme="majorBidi" w:hAnsiTheme="majorBidi" w:cstheme="majorBidi"/>
        </w:rPr>
      </w:pPr>
      <w:r w:rsidRPr="00B22C8C">
        <w:rPr>
          <w:rFonts w:asciiTheme="majorBidi" w:hAnsiTheme="majorBidi" w:cstheme="majorBidi"/>
        </w:rPr>
        <w:t>To create experiential learning and professional exposure opportunities for students.</w:t>
      </w:r>
    </w:p>
    <w:p w:rsidR="00FE0EF8" w:rsidRPr="00B22C8C" w:rsidRDefault="00FE0EF8" w:rsidP="00FE0EF8">
      <w:pPr>
        <w:numPr>
          <w:ilvl w:val="0"/>
          <w:numId w:val="24"/>
        </w:numPr>
        <w:spacing w:after="0" w:line="360" w:lineRule="auto"/>
        <w:jc w:val="both"/>
        <w:rPr>
          <w:rFonts w:asciiTheme="majorBidi" w:hAnsiTheme="majorBidi" w:cstheme="majorBidi"/>
        </w:rPr>
      </w:pPr>
      <w:r w:rsidRPr="00B22C8C">
        <w:rPr>
          <w:rFonts w:asciiTheme="majorBidi" w:hAnsiTheme="majorBidi" w:cstheme="majorBidi"/>
        </w:rPr>
        <w:t>To enhance the university’s reputation and social impact.</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4. Scope and Applicability</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This policy applies to:</w:t>
      </w:r>
    </w:p>
    <w:p w:rsidR="00FE0EF8" w:rsidRPr="00B22C8C" w:rsidRDefault="00FE0EF8" w:rsidP="00FE0EF8">
      <w:pPr>
        <w:numPr>
          <w:ilvl w:val="0"/>
          <w:numId w:val="25"/>
        </w:numPr>
        <w:spacing w:after="0" w:line="360" w:lineRule="auto"/>
        <w:jc w:val="both"/>
        <w:rPr>
          <w:rFonts w:asciiTheme="majorBidi" w:hAnsiTheme="majorBidi" w:cstheme="majorBidi"/>
        </w:rPr>
      </w:pPr>
      <w:r w:rsidRPr="00B22C8C">
        <w:rPr>
          <w:rFonts w:asciiTheme="majorBidi" w:hAnsiTheme="majorBidi" w:cstheme="majorBidi"/>
        </w:rPr>
        <w:t xml:space="preserve">All faculties, departments, and academic </w:t>
      </w:r>
      <w:proofErr w:type="spellStart"/>
      <w:r w:rsidRPr="00B22C8C">
        <w:rPr>
          <w:rFonts w:asciiTheme="majorBidi" w:hAnsiTheme="majorBidi" w:cstheme="majorBidi"/>
        </w:rPr>
        <w:t>programmes</w:t>
      </w:r>
      <w:proofErr w:type="spellEnd"/>
      <w:r w:rsidRPr="00B22C8C">
        <w:rPr>
          <w:rFonts w:asciiTheme="majorBidi" w:hAnsiTheme="majorBidi" w:cstheme="majorBidi"/>
        </w:rPr>
        <w:t>;</w:t>
      </w:r>
    </w:p>
    <w:p w:rsidR="00FE0EF8" w:rsidRPr="00B22C8C" w:rsidRDefault="00FE0EF8" w:rsidP="00FE0EF8">
      <w:pPr>
        <w:numPr>
          <w:ilvl w:val="0"/>
          <w:numId w:val="25"/>
        </w:numPr>
        <w:spacing w:after="0" w:line="360" w:lineRule="auto"/>
        <w:jc w:val="both"/>
        <w:rPr>
          <w:rFonts w:asciiTheme="majorBidi" w:hAnsiTheme="majorBidi" w:cstheme="majorBidi"/>
        </w:rPr>
      </w:pPr>
      <w:r w:rsidRPr="00B22C8C">
        <w:rPr>
          <w:rFonts w:asciiTheme="majorBidi" w:hAnsiTheme="majorBidi" w:cstheme="majorBidi"/>
        </w:rPr>
        <w:t xml:space="preserve">All staff, students, alumni, and affiliated </w:t>
      </w:r>
      <w:proofErr w:type="spellStart"/>
      <w:r w:rsidRPr="00B22C8C">
        <w:rPr>
          <w:rFonts w:asciiTheme="majorBidi" w:hAnsiTheme="majorBidi" w:cstheme="majorBidi"/>
        </w:rPr>
        <w:t>centres</w:t>
      </w:r>
      <w:proofErr w:type="spellEnd"/>
      <w:r w:rsidRPr="00B22C8C">
        <w:rPr>
          <w:rFonts w:asciiTheme="majorBidi" w:hAnsiTheme="majorBidi" w:cstheme="majorBidi"/>
        </w:rPr>
        <w:t>;</w:t>
      </w:r>
    </w:p>
    <w:p w:rsidR="00FE0EF8" w:rsidRPr="00B22C8C" w:rsidRDefault="00FE0EF8" w:rsidP="00FE0EF8">
      <w:pPr>
        <w:numPr>
          <w:ilvl w:val="0"/>
          <w:numId w:val="25"/>
        </w:numPr>
        <w:spacing w:after="0" w:line="360" w:lineRule="auto"/>
        <w:jc w:val="both"/>
        <w:rPr>
          <w:rFonts w:asciiTheme="majorBidi" w:hAnsiTheme="majorBidi" w:cstheme="majorBidi"/>
        </w:rPr>
      </w:pPr>
      <w:r w:rsidRPr="00B22C8C">
        <w:rPr>
          <w:rFonts w:asciiTheme="majorBidi" w:hAnsiTheme="majorBidi" w:cstheme="majorBidi"/>
        </w:rPr>
        <w:t>All partnerships with industry, government, NGOs, and community groups;</w:t>
      </w:r>
    </w:p>
    <w:p w:rsidR="00FE0EF8" w:rsidRPr="00B22C8C" w:rsidRDefault="00FE0EF8" w:rsidP="00FE0EF8">
      <w:pPr>
        <w:numPr>
          <w:ilvl w:val="0"/>
          <w:numId w:val="25"/>
        </w:numPr>
        <w:spacing w:after="0" w:line="360" w:lineRule="auto"/>
        <w:jc w:val="both"/>
        <w:rPr>
          <w:rFonts w:asciiTheme="majorBidi" w:hAnsiTheme="majorBidi" w:cstheme="majorBidi"/>
        </w:rPr>
      </w:pPr>
      <w:r w:rsidRPr="00B22C8C">
        <w:rPr>
          <w:rFonts w:asciiTheme="majorBidi" w:hAnsiTheme="majorBidi" w:cstheme="majorBidi"/>
        </w:rPr>
        <w:t xml:space="preserve">All CSR initiatives, outreach activities, consultancy, and volunteer </w:t>
      </w:r>
      <w:proofErr w:type="spellStart"/>
      <w:r w:rsidRPr="00B22C8C">
        <w:rPr>
          <w:rFonts w:asciiTheme="majorBidi" w:hAnsiTheme="majorBidi" w:cstheme="majorBidi"/>
        </w:rPr>
        <w:t>programmes</w:t>
      </w:r>
      <w:proofErr w:type="spellEnd"/>
      <w:r w:rsidRPr="00B22C8C">
        <w:rPr>
          <w:rFonts w:asciiTheme="majorBidi" w:hAnsiTheme="majorBidi" w:cstheme="majorBidi"/>
        </w:rPr>
        <w:t>.</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5. Guiding Principles</w:t>
      </w:r>
    </w:p>
    <w:p w:rsidR="00FE0EF8" w:rsidRPr="00B22C8C" w:rsidRDefault="00FE0EF8" w:rsidP="00FE0EF8">
      <w:pPr>
        <w:numPr>
          <w:ilvl w:val="0"/>
          <w:numId w:val="26"/>
        </w:numPr>
        <w:spacing w:after="0" w:line="360" w:lineRule="auto"/>
        <w:jc w:val="both"/>
        <w:rPr>
          <w:rFonts w:asciiTheme="majorBidi" w:hAnsiTheme="majorBidi" w:cstheme="majorBidi"/>
        </w:rPr>
      </w:pPr>
      <w:r w:rsidRPr="00B22C8C">
        <w:rPr>
          <w:rFonts w:asciiTheme="majorBidi" w:hAnsiTheme="majorBidi" w:cstheme="majorBidi"/>
        </w:rPr>
        <w:t>Mutual Benefit – Partnerships should benefit both the university and external stakeholders.</w:t>
      </w:r>
    </w:p>
    <w:p w:rsidR="00FE0EF8" w:rsidRPr="00B22C8C" w:rsidRDefault="00FE0EF8" w:rsidP="00FE0EF8">
      <w:pPr>
        <w:numPr>
          <w:ilvl w:val="0"/>
          <w:numId w:val="26"/>
        </w:numPr>
        <w:spacing w:after="0" w:line="360" w:lineRule="auto"/>
        <w:jc w:val="both"/>
        <w:rPr>
          <w:rFonts w:asciiTheme="majorBidi" w:hAnsiTheme="majorBidi" w:cstheme="majorBidi"/>
        </w:rPr>
      </w:pPr>
      <w:r w:rsidRPr="00B22C8C">
        <w:rPr>
          <w:rFonts w:asciiTheme="majorBidi" w:hAnsiTheme="majorBidi" w:cstheme="majorBidi"/>
        </w:rPr>
        <w:t>Ethical Collaboration – Activities must follow ethical, legal, and institutional standards.</w:t>
      </w:r>
    </w:p>
    <w:p w:rsidR="00FE0EF8" w:rsidRPr="00B22C8C" w:rsidRDefault="00FE0EF8" w:rsidP="00FE0EF8">
      <w:pPr>
        <w:numPr>
          <w:ilvl w:val="0"/>
          <w:numId w:val="26"/>
        </w:numPr>
        <w:spacing w:after="0" w:line="360" w:lineRule="auto"/>
        <w:jc w:val="both"/>
        <w:rPr>
          <w:rFonts w:asciiTheme="majorBidi" w:hAnsiTheme="majorBidi" w:cstheme="majorBidi"/>
        </w:rPr>
      </w:pPr>
      <w:r w:rsidRPr="00B22C8C">
        <w:rPr>
          <w:rFonts w:asciiTheme="majorBidi" w:hAnsiTheme="majorBidi" w:cstheme="majorBidi"/>
        </w:rPr>
        <w:t>Sustainability – Long-term, impactful initiatives preferred over one-time events.</w:t>
      </w:r>
    </w:p>
    <w:p w:rsidR="00FE0EF8" w:rsidRPr="00B22C8C" w:rsidRDefault="00FE0EF8" w:rsidP="00FE0EF8">
      <w:pPr>
        <w:numPr>
          <w:ilvl w:val="0"/>
          <w:numId w:val="26"/>
        </w:numPr>
        <w:spacing w:after="0" w:line="360" w:lineRule="auto"/>
        <w:jc w:val="both"/>
        <w:rPr>
          <w:rFonts w:asciiTheme="majorBidi" w:hAnsiTheme="majorBidi" w:cstheme="majorBidi"/>
        </w:rPr>
      </w:pPr>
      <w:r w:rsidRPr="00B22C8C">
        <w:rPr>
          <w:rFonts w:asciiTheme="majorBidi" w:hAnsiTheme="majorBidi" w:cstheme="majorBidi"/>
        </w:rPr>
        <w:t>Inclusivity – Engagement activities must support diverse and disadvantaged communities.</w:t>
      </w:r>
    </w:p>
    <w:p w:rsidR="00FE0EF8" w:rsidRPr="00B22C8C" w:rsidRDefault="00FE0EF8" w:rsidP="00FE0EF8">
      <w:pPr>
        <w:numPr>
          <w:ilvl w:val="0"/>
          <w:numId w:val="26"/>
        </w:numPr>
        <w:spacing w:after="0" w:line="360" w:lineRule="auto"/>
        <w:jc w:val="both"/>
        <w:rPr>
          <w:rFonts w:asciiTheme="majorBidi" w:hAnsiTheme="majorBidi" w:cstheme="majorBidi"/>
        </w:rPr>
      </w:pPr>
      <w:r w:rsidRPr="00B22C8C">
        <w:rPr>
          <w:rFonts w:asciiTheme="majorBidi" w:hAnsiTheme="majorBidi" w:cstheme="majorBidi"/>
        </w:rPr>
        <w:t>Innovation – Encouragement of new ideas and collaborative problem-solving.</w:t>
      </w:r>
    </w:p>
    <w:p w:rsidR="00FE0EF8" w:rsidRPr="00B22C8C" w:rsidRDefault="00FE0EF8" w:rsidP="00FE0EF8">
      <w:pPr>
        <w:numPr>
          <w:ilvl w:val="0"/>
          <w:numId w:val="26"/>
        </w:numPr>
        <w:spacing w:after="0" w:line="360" w:lineRule="auto"/>
        <w:jc w:val="both"/>
        <w:rPr>
          <w:rFonts w:asciiTheme="majorBidi" w:hAnsiTheme="majorBidi" w:cstheme="majorBidi"/>
        </w:rPr>
      </w:pPr>
      <w:r w:rsidRPr="00B22C8C">
        <w:rPr>
          <w:rFonts w:asciiTheme="majorBidi" w:hAnsiTheme="majorBidi" w:cstheme="majorBidi"/>
        </w:rPr>
        <w:t>Accountability – Transparent planning, implementation, and reporting.</w:t>
      </w:r>
    </w:p>
    <w:p w:rsidR="00FE0EF8" w:rsidRPr="00B22C8C" w:rsidRDefault="00FE0EF8" w:rsidP="00FE0EF8">
      <w:pPr>
        <w:numPr>
          <w:ilvl w:val="0"/>
          <w:numId w:val="26"/>
        </w:numPr>
        <w:spacing w:after="0" w:line="360" w:lineRule="auto"/>
        <w:jc w:val="both"/>
        <w:rPr>
          <w:rFonts w:asciiTheme="majorBidi" w:hAnsiTheme="majorBidi" w:cstheme="majorBidi"/>
        </w:rPr>
      </w:pPr>
      <w:r w:rsidRPr="00B22C8C">
        <w:rPr>
          <w:rFonts w:asciiTheme="majorBidi" w:hAnsiTheme="majorBidi" w:cstheme="majorBidi"/>
        </w:rPr>
        <w:t xml:space="preserve">Relevance – Partnerships aligned with academic </w:t>
      </w:r>
      <w:proofErr w:type="spellStart"/>
      <w:r w:rsidRPr="00B22C8C">
        <w:rPr>
          <w:rFonts w:asciiTheme="majorBidi" w:hAnsiTheme="majorBidi" w:cstheme="majorBidi"/>
        </w:rPr>
        <w:t>programmes</w:t>
      </w:r>
      <w:proofErr w:type="spellEnd"/>
      <w:r w:rsidRPr="00B22C8C">
        <w:rPr>
          <w:rFonts w:asciiTheme="majorBidi" w:hAnsiTheme="majorBidi" w:cstheme="majorBidi"/>
        </w:rPr>
        <w:t xml:space="preserve"> and societal needs.</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6. Industry Partnerships</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6.1 Forms of Partnerships</w:t>
      </w:r>
    </w:p>
    <w:p w:rsidR="00FE0EF8" w:rsidRPr="00B22C8C" w:rsidRDefault="00FE0EF8" w:rsidP="00FE0EF8">
      <w:pPr>
        <w:numPr>
          <w:ilvl w:val="0"/>
          <w:numId w:val="27"/>
        </w:numPr>
        <w:spacing w:after="0" w:line="360" w:lineRule="auto"/>
        <w:jc w:val="both"/>
        <w:rPr>
          <w:rFonts w:asciiTheme="majorBidi" w:hAnsiTheme="majorBidi" w:cstheme="majorBidi"/>
        </w:rPr>
      </w:pPr>
      <w:r w:rsidRPr="00B22C8C">
        <w:rPr>
          <w:rFonts w:asciiTheme="majorBidi" w:hAnsiTheme="majorBidi" w:cstheme="majorBidi"/>
        </w:rPr>
        <w:t>Memoranda of Understanding (MoUs)</w:t>
      </w:r>
    </w:p>
    <w:p w:rsidR="00FE0EF8" w:rsidRPr="00B22C8C" w:rsidRDefault="00FE0EF8" w:rsidP="00FE0EF8">
      <w:pPr>
        <w:numPr>
          <w:ilvl w:val="0"/>
          <w:numId w:val="27"/>
        </w:numPr>
        <w:spacing w:after="0" w:line="360" w:lineRule="auto"/>
        <w:jc w:val="both"/>
        <w:rPr>
          <w:rFonts w:asciiTheme="majorBidi" w:hAnsiTheme="majorBidi" w:cstheme="majorBidi"/>
        </w:rPr>
      </w:pPr>
      <w:r w:rsidRPr="00B22C8C">
        <w:rPr>
          <w:rFonts w:asciiTheme="majorBidi" w:hAnsiTheme="majorBidi" w:cstheme="majorBidi"/>
        </w:rPr>
        <w:t>Internships and industrial training</w:t>
      </w:r>
    </w:p>
    <w:p w:rsidR="00FE0EF8" w:rsidRPr="00B22C8C" w:rsidRDefault="00FE0EF8" w:rsidP="00FE0EF8">
      <w:pPr>
        <w:numPr>
          <w:ilvl w:val="0"/>
          <w:numId w:val="27"/>
        </w:numPr>
        <w:spacing w:after="0" w:line="360" w:lineRule="auto"/>
        <w:jc w:val="both"/>
        <w:rPr>
          <w:rFonts w:asciiTheme="majorBidi" w:hAnsiTheme="majorBidi" w:cstheme="majorBidi"/>
        </w:rPr>
      </w:pPr>
      <w:r w:rsidRPr="00B22C8C">
        <w:rPr>
          <w:rFonts w:asciiTheme="majorBidi" w:hAnsiTheme="majorBidi" w:cstheme="majorBidi"/>
        </w:rPr>
        <w:t>Joint research and innovation projects</w:t>
      </w:r>
    </w:p>
    <w:p w:rsidR="00FE0EF8" w:rsidRPr="00B22C8C" w:rsidRDefault="00FE0EF8" w:rsidP="00FE0EF8">
      <w:pPr>
        <w:numPr>
          <w:ilvl w:val="0"/>
          <w:numId w:val="27"/>
        </w:numPr>
        <w:spacing w:after="0" w:line="360" w:lineRule="auto"/>
        <w:jc w:val="both"/>
        <w:rPr>
          <w:rFonts w:asciiTheme="majorBidi" w:hAnsiTheme="majorBidi" w:cstheme="majorBidi"/>
        </w:rPr>
      </w:pPr>
      <w:r w:rsidRPr="00B22C8C">
        <w:rPr>
          <w:rFonts w:asciiTheme="majorBidi" w:hAnsiTheme="majorBidi" w:cstheme="majorBidi"/>
        </w:rPr>
        <w:t>Industry advisory panels</w:t>
      </w:r>
    </w:p>
    <w:p w:rsidR="00FE0EF8" w:rsidRPr="00B22C8C" w:rsidRDefault="00FE0EF8" w:rsidP="00FE0EF8">
      <w:pPr>
        <w:numPr>
          <w:ilvl w:val="0"/>
          <w:numId w:val="27"/>
        </w:numPr>
        <w:spacing w:after="0" w:line="360" w:lineRule="auto"/>
        <w:jc w:val="both"/>
        <w:rPr>
          <w:rFonts w:asciiTheme="majorBidi" w:hAnsiTheme="majorBidi" w:cstheme="majorBidi"/>
        </w:rPr>
      </w:pPr>
      <w:r w:rsidRPr="00B22C8C">
        <w:rPr>
          <w:rFonts w:asciiTheme="majorBidi" w:hAnsiTheme="majorBidi" w:cstheme="majorBidi"/>
        </w:rPr>
        <w:t>Guest lectures, workshops, and seminars</w:t>
      </w:r>
    </w:p>
    <w:p w:rsidR="00FE0EF8" w:rsidRPr="00B22C8C" w:rsidRDefault="00FE0EF8" w:rsidP="00FE0EF8">
      <w:pPr>
        <w:numPr>
          <w:ilvl w:val="0"/>
          <w:numId w:val="27"/>
        </w:numPr>
        <w:spacing w:after="0" w:line="360" w:lineRule="auto"/>
        <w:jc w:val="both"/>
        <w:rPr>
          <w:rFonts w:asciiTheme="majorBidi" w:hAnsiTheme="majorBidi" w:cstheme="majorBidi"/>
        </w:rPr>
      </w:pPr>
      <w:r w:rsidRPr="00B22C8C">
        <w:rPr>
          <w:rFonts w:asciiTheme="majorBidi" w:hAnsiTheme="majorBidi" w:cstheme="majorBidi"/>
        </w:rPr>
        <w:t>Sponsorships and scholarships</w:t>
      </w:r>
    </w:p>
    <w:p w:rsidR="00FE0EF8" w:rsidRPr="00B22C8C" w:rsidRDefault="00FE0EF8" w:rsidP="00FE0EF8">
      <w:pPr>
        <w:numPr>
          <w:ilvl w:val="0"/>
          <w:numId w:val="27"/>
        </w:numPr>
        <w:spacing w:after="0" w:line="360" w:lineRule="auto"/>
        <w:jc w:val="both"/>
        <w:rPr>
          <w:rFonts w:asciiTheme="majorBidi" w:hAnsiTheme="majorBidi" w:cstheme="majorBidi"/>
        </w:rPr>
      </w:pPr>
      <w:r w:rsidRPr="00B22C8C">
        <w:rPr>
          <w:rFonts w:asciiTheme="majorBidi" w:hAnsiTheme="majorBidi" w:cstheme="majorBidi"/>
        </w:rPr>
        <w:lastRenderedPageBreak/>
        <w:t xml:space="preserve">Staff exchange and training </w:t>
      </w:r>
      <w:proofErr w:type="spellStart"/>
      <w:r w:rsidRPr="00B22C8C">
        <w:rPr>
          <w:rFonts w:asciiTheme="majorBidi" w:hAnsiTheme="majorBidi" w:cstheme="majorBidi"/>
        </w:rPr>
        <w:t>programmes</w:t>
      </w:r>
      <w:proofErr w:type="spellEnd"/>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6.2 Partnership Governance</w:t>
      </w:r>
    </w:p>
    <w:p w:rsidR="00FE0EF8" w:rsidRPr="00B22C8C" w:rsidRDefault="00FE0EF8" w:rsidP="00FE0EF8">
      <w:pPr>
        <w:numPr>
          <w:ilvl w:val="0"/>
          <w:numId w:val="28"/>
        </w:numPr>
        <w:spacing w:after="0" w:line="360" w:lineRule="auto"/>
        <w:jc w:val="both"/>
        <w:rPr>
          <w:rFonts w:asciiTheme="majorBidi" w:hAnsiTheme="majorBidi" w:cstheme="majorBidi"/>
        </w:rPr>
      </w:pPr>
      <w:r w:rsidRPr="00B22C8C">
        <w:rPr>
          <w:rFonts w:asciiTheme="majorBidi" w:hAnsiTheme="majorBidi" w:cstheme="majorBidi"/>
        </w:rPr>
        <w:t>All MoUs reviewed by CILCE, recommended by Senate, approved by Governing Board.</w:t>
      </w:r>
    </w:p>
    <w:p w:rsidR="00FE0EF8" w:rsidRPr="00B22C8C" w:rsidRDefault="00FE0EF8" w:rsidP="00FE0EF8">
      <w:pPr>
        <w:numPr>
          <w:ilvl w:val="0"/>
          <w:numId w:val="28"/>
        </w:numPr>
        <w:spacing w:after="0" w:line="360" w:lineRule="auto"/>
        <w:jc w:val="both"/>
        <w:rPr>
          <w:rFonts w:asciiTheme="majorBidi" w:hAnsiTheme="majorBidi" w:cstheme="majorBidi"/>
        </w:rPr>
      </w:pPr>
      <w:r w:rsidRPr="00B22C8C">
        <w:rPr>
          <w:rFonts w:asciiTheme="majorBidi" w:hAnsiTheme="majorBidi" w:cstheme="majorBidi"/>
        </w:rPr>
        <w:t>Partnership records maintained in an institutional database.</w:t>
      </w:r>
    </w:p>
    <w:p w:rsidR="00FE0EF8" w:rsidRPr="00B22C8C" w:rsidRDefault="00FE0EF8" w:rsidP="00FE0EF8">
      <w:pPr>
        <w:numPr>
          <w:ilvl w:val="0"/>
          <w:numId w:val="28"/>
        </w:numPr>
        <w:spacing w:after="0" w:line="360" w:lineRule="auto"/>
        <w:jc w:val="both"/>
        <w:rPr>
          <w:rFonts w:asciiTheme="majorBidi" w:hAnsiTheme="majorBidi" w:cstheme="majorBidi"/>
        </w:rPr>
      </w:pPr>
      <w:r w:rsidRPr="00B22C8C">
        <w:rPr>
          <w:rFonts w:asciiTheme="majorBidi" w:hAnsiTheme="majorBidi" w:cstheme="majorBidi"/>
        </w:rPr>
        <w:t>Annual performance review of major partnerships.</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6.3 Benefits to Students</w:t>
      </w:r>
    </w:p>
    <w:p w:rsidR="00FE0EF8" w:rsidRPr="00B22C8C" w:rsidRDefault="00FE0EF8" w:rsidP="00FE0EF8">
      <w:pPr>
        <w:numPr>
          <w:ilvl w:val="0"/>
          <w:numId w:val="29"/>
        </w:numPr>
        <w:spacing w:after="0" w:line="360" w:lineRule="auto"/>
        <w:jc w:val="both"/>
        <w:rPr>
          <w:rFonts w:asciiTheme="majorBidi" w:hAnsiTheme="majorBidi" w:cstheme="majorBidi"/>
        </w:rPr>
      </w:pPr>
      <w:r w:rsidRPr="00B22C8C">
        <w:rPr>
          <w:rFonts w:asciiTheme="majorBidi" w:hAnsiTheme="majorBidi" w:cstheme="majorBidi"/>
        </w:rPr>
        <w:t>Hands-on experience through internships;</w:t>
      </w:r>
    </w:p>
    <w:p w:rsidR="00FE0EF8" w:rsidRPr="00B22C8C" w:rsidRDefault="00FE0EF8" w:rsidP="00FE0EF8">
      <w:pPr>
        <w:numPr>
          <w:ilvl w:val="0"/>
          <w:numId w:val="29"/>
        </w:numPr>
        <w:spacing w:after="0" w:line="360" w:lineRule="auto"/>
        <w:jc w:val="both"/>
        <w:rPr>
          <w:rFonts w:asciiTheme="majorBidi" w:hAnsiTheme="majorBidi" w:cstheme="majorBidi"/>
        </w:rPr>
      </w:pPr>
      <w:r w:rsidRPr="00B22C8C">
        <w:rPr>
          <w:rFonts w:asciiTheme="majorBidi" w:hAnsiTheme="majorBidi" w:cstheme="majorBidi"/>
        </w:rPr>
        <w:t>Industrial exposure and site visits;</w:t>
      </w:r>
    </w:p>
    <w:p w:rsidR="00FE0EF8" w:rsidRPr="00B22C8C" w:rsidRDefault="00FE0EF8" w:rsidP="00FE0EF8">
      <w:pPr>
        <w:numPr>
          <w:ilvl w:val="0"/>
          <w:numId w:val="29"/>
        </w:numPr>
        <w:spacing w:after="0" w:line="360" w:lineRule="auto"/>
        <w:jc w:val="both"/>
        <w:rPr>
          <w:rFonts w:asciiTheme="majorBidi" w:hAnsiTheme="majorBidi" w:cstheme="majorBidi"/>
        </w:rPr>
      </w:pPr>
      <w:r w:rsidRPr="00B22C8C">
        <w:rPr>
          <w:rFonts w:asciiTheme="majorBidi" w:hAnsiTheme="majorBidi" w:cstheme="majorBidi"/>
        </w:rPr>
        <w:t>Workplace-relevant skills development;</w:t>
      </w:r>
    </w:p>
    <w:p w:rsidR="00FE0EF8" w:rsidRPr="00B22C8C" w:rsidRDefault="00FE0EF8" w:rsidP="00FE0EF8">
      <w:pPr>
        <w:numPr>
          <w:ilvl w:val="0"/>
          <w:numId w:val="29"/>
        </w:numPr>
        <w:spacing w:after="0" w:line="360" w:lineRule="auto"/>
        <w:jc w:val="both"/>
        <w:rPr>
          <w:rFonts w:asciiTheme="majorBidi" w:hAnsiTheme="majorBidi" w:cstheme="majorBidi"/>
        </w:rPr>
      </w:pPr>
      <w:r w:rsidRPr="00B22C8C">
        <w:rPr>
          <w:rFonts w:asciiTheme="majorBidi" w:hAnsiTheme="majorBidi" w:cstheme="majorBidi"/>
        </w:rPr>
        <w:t>Enhanced employability and career pathways.</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7. Community Engagement</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7.1 Areas of Engagement</w:t>
      </w:r>
    </w:p>
    <w:p w:rsidR="00FE0EF8" w:rsidRPr="00B22C8C" w:rsidRDefault="00FE0EF8" w:rsidP="00FE0EF8">
      <w:pPr>
        <w:numPr>
          <w:ilvl w:val="0"/>
          <w:numId w:val="30"/>
        </w:numPr>
        <w:spacing w:after="0" w:line="360" w:lineRule="auto"/>
        <w:jc w:val="both"/>
        <w:rPr>
          <w:rFonts w:asciiTheme="majorBidi" w:hAnsiTheme="majorBidi" w:cstheme="majorBidi"/>
        </w:rPr>
      </w:pPr>
      <w:r w:rsidRPr="00B22C8C">
        <w:rPr>
          <w:rFonts w:asciiTheme="majorBidi" w:hAnsiTheme="majorBidi" w:cstheme="majorBidi"/>
        </w:rPr>
        <w:t xml:space="preserve">School outreach and education </w:t>
      </w:r>
      <w:proofErr w:type="spellStart"/>
      <w:r w:rsidRPr="00B22C8C">
        <w:rPr>
          <w:rFonts w:asciiTheme="majorBidi" w:hAnsiTheme="majorBidi" w:cstheme="majorBidi"/>
        </w:rPr>
        <w:t>programmes</w:t>
      </w:r>
      <w:proofErr w:type="spellEnd"/>
    </w:p>
    <w:p w:rsidR="00FE0EF8" w:rsidRPr="00B22C8C" w:rsidRDefault="00FE0EF8" w:rsidP="00FE0EF8">
      <w:pPr>
        <w:numPr>
          <w:ilvl w:val="0"/>
          <w:numId w:val="30"/>
        </w:numPr>
        <w:spacing w:after="0" w:line="360" w:lineRule="auto"/>
        <w:jc w:val="both"/>
        <w:rPr>
          <w:rFonts w:asciiTheme="majorBidi" w:hAnsiTheme="majorBidi" w:cstheme="majorBidi"/>
        </w:rPr>
      </w:pPr>
      <w:r w:rsidRPr="00B22C8C">
        <w:rPr>
          <w:rFonts w:asciiTheme="majorBidi" w:hAnsiTheme="majorBidi" w:cstheme="majorBidi"/>
        </w:rPr>
        <w:t>IT literacy and digital empowerment initiatives</w:t>
      </w:r>
    </w:p>
    <w:p w:rsidR="00FE0EF8" w:rsidRPr="00B22C8C" w:rsidRDefault="00FE0EF8" w:rsidP="00FE0EF8">
      <w:pPr>
        <w:numPr>
          <w:ilvl w:val="0"/>
          <w:numId w:val="30"/>
        </w:numPr>
        <w:spacing w:after="0" w:line="360" w:lineRule="auto"/>
        <w:jc w:val="both"/>
        <w:rPr>
          <w:rFonts w:asciiTheme="majorBidi" w:hAnsiTheme="majorBidi" w:cstheme="majorBidi"/>
        </w:rPr>
      </w:pPr>
      <w:r w:rsidRPr="00B22C8C">
        <w:rPr>
          <w:rFonts w:asciiTheme="majorBidi" w:hAnsiTheme="majorBidi" w:cstheme="majorBidi"/>
        </w:rPr>
        <w:t>Environmental conservation activities</w:t>
      </w:r>
    </w:p>
    <w:p w:rsidR="00FE0EF8" w:rsidRPr="00B22C8C" w:rsidRDefault="00FE0EF8" w:rsidP="00FE0EF8">
      <w:pPr>
        <w:numPr>
          <w:ilvl w:val="0"/>
          <w:numId w:val="30"/>
        </w:numPr>
        <w:spacing w:after="0" w:line="360" w:lineRule="auto"/>
        <w:jc w:val="both"/>
        <w:rPr>
          <w:rFonts w:asciiTheme="majorBidi" w:hAnsiTheme="majorBidi" w:cstheme="majorBidi"/>
        </w:rPr>
      </w:pPr>
      <w:r w:rsidRPr="00B22C8C">
        <w:rPr>
          <w:rFonts w:asciiTheme="majorBidi" w:hAnsiTheme="majorBidi" w:cstheme="majorBidi"/>
        </w:rPr>
        <w:t>Health and wellbeing campaigns</w:t>
      </w:r>
    </w:p>
    <w:p w:rsidR="00FE0EF8" w:rsidRPr="00B22C8C" w:rsidRDefault="00FE0EF8" w:rsidP="00FE0EF8">
      <w:pPr>
        <w:numPr>
          <w:ilvl w:val="0"/>
          <w:numId w:val="30"/>
        </w:numPr>
        <w:spacing w:after="0" w:line="360" w:lineRule="auto"/>
        <w:jc w:val="both"/>
        <w:rPr>
          <w:rFonts w:asciiTheme="majorBidi" w:hAnsiTheme="majorBidi" w:cstheme="majorBidi"/>
        </w:rPr>
      </w:pPr>
      <w:r w:rsidRPr="00B22C8C">
        <w:rPr>
          <w:rFonts w:asciiTheme="majorBidi" w:hAnsiTheme="majorBidi" w:cstheme="majorBidi"/>
        </w:rPr>
        <w:t>Social welfare and humanitarian projects</w:t>
      </w:r>
    </w:p>
    <w:p w:rsidR="00FE0EF8" w:rsidRPr="00B22C8C" w:rsidRDefault="00FE0EF8" w:rsidP="00FE0EF8">
      <w:pPr>
        <w:numPr>
          <w:ilvl w:val="0"/>
          <w:numId w:val="30"/>
        </w:numPr>
        <w:spacing w:after="0" w:line="360" w:lineRule="auto"/>
        <w:jc w:val="both"/>
        <w:rPr>
          <w:rFonts w:asciiTheme="majorBidi" w:hAnsiTheme="majorBidi" w:cstheme="majorBidi"/>
        </w:rPr>
      </w:pPr>
      <w:r w:rsidRPr="00B22C8C">
        <w:rPr>
          <w:rFonts w:asciiTheme="majorBidi" w:hAnsiTheme="majorBidi" w:cstheme="majorBidi"/>
        </w:rPr>
        <w:t>Capacity-building for community groups</w:t>
      </w:r>
    </w:p>
    <w:p w:rsidR="00FE0EF8" w:rsidRPr="00B22C8C" w:rsidRDefault="00FE0EF8" w:rsidP="00FE0EF8">
      <w:pPr>
        <w:numPr>
          <w:ilvl w:val="0"/>
          <w:numId w:val="30"/>
        </w:numPr>
        <w:spacing w:after="0" w:line="360" w:lineRule="auto"/>
        <w:jc w:val="both"/>
        <w:rPr>
          <w:rFonts w:asciiTheme="majorBidi" w:hAnsiTheme="majorBidi" w:cstheme="majorBidi"/>
        </w:rPr>
      </w:pPr>
      <w:r w:rsidRPr="00B22C8C">
        <w:rPr>
          <w:rFonts w:asciiTheme="majorBidi" w:hAnsiTheme="majorBidi" w:cstheme="majorBidi"/>
        </w:rPr>
        <w:t xml:space="preserve">Volunteer </w:t>
      </w:r>
      <w:proofErr w:type="spellStart"/>
      <w:r w:rsidRPr="00B22C8C">
        <w:rPr>
          <w:rFonts w:asciiTheme="majorBidi" w:hAnsiTheme="majorBidi" w:cstheme="majorBidi"/>
        </w:rPr>
        <w:t>programmes</w:t>
      </w:r>
      <w:proofErr w:type="spellEnd"/>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7.2 Staff and Student Participation</w:t>
      </w:r>
    </w:p>
    <w:p w:rsidR="00FE0EF8" w:rsidRPr="00B22C8C" w:rsidRDefault="00FE0EF8" w:rsidP="00FE0EF8">
      <w:pPr>
        <w:numPr>
          <w:ilvl w:val="0"/>
          <w:numId w:val="31"/>
        </w:numPr>
        <w:spacing w:after="0" w:line="360" w:lineRule="auto"/>
        <w:jc w:val="both"/>
        <w:rPr>
          <w:rFonts w:asciiTheme="majorBidi" w:hAnsiTheme="majorBidi" w:cstheme="majorBidi"/>
        </w:rPr>
      </w:pPr>
      <w:r w:rsidRPr="00B22C8C">
        <w:rPr>
          <w:rFonts w:asciiTheme="majorBidi" w:hAnsiTheme="majorBidi" w:cstheme="majorBidi"/>
        </w:rPr>
        <w:t>Students encouraged to participate in volunteer and service-learning activities.</w:t>
      </w:r>
    </w:p>
    <w:p w:rsidR="00FE0EF8" w:rsidRPr="00B22C8C" w:rsidRDefault="00FE0EF8" w:rsidP="00FE0EF8">
      <w:pPr>
        <w:numPr>
          <w:ilvl w:val="0"/>
          <w:numId w:val="31"/>
        </w:numPr>
        <w:spacing w:after="0" w:line="360" w:lineRule="auto"/>
        <w:jc w:val="both"/>
        <w:rPr>
          <w:rFonts w:asciiTheme="majorBidi" w:hAnsiTheme="majorBidi" w:cstheme="majorBidi"/>
        </w:rPr>
      </w:pPr>
      <w:r w:rsidRPr="00B22C8C">
        <w:rPr>
          <w:rFonts w:asciiTheme="majorBidi" w:hAnsiTheme="majorBidi" w:cstheme="majorBidi"/>
        </w:rPr>
        <w:t>Community engagement integrated into selected academic modules.</w:t>
      </w:r>
    </w:p>
    <w:p w:rsidR="00FE0EF8" w:rsidRPr="00B22C8C" w:rsidRDefault="00FE0EF8" w:rsidP="00FE0EF8">
      <w:pPr>
        <w:numPr>
          <w:ilvl w:val="0"/>
          <w:numId w:val="31"/>
        </w:numPr>
        <w:spacing w:after="0" w:line="360" w:lineRule="auto"/>
        <w:jc w:val="both"/>
        <w:rPr>
          <w:rFonts w:asciiTheme="majorBidi" w:hAnsiTheme="majorBidi" w:cstheme="majorBidi"/>
        </w:rPr>
      </w:pPr>
      <w:r w:rsidRPr="00B22C8C">
        <w:rPr>
          <w:rFonts w:asciiTheme="majorBidi" w:hAnsiTheme="majorBidi" w:cstheme="majorBidi"/>
        </w:rPr>
        <w:t>Staff participation recognized through appraisal and reward mechanisms.</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7.3 Partnerships with Community Stakeholders</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Collaborations encouraged with:</w:t>
      </w:r>
    </w:p>
    <w:p w:rsidR="00FE0EF8" w:rsidRPr="00B22C8C" w:rsidRDefault="00FE0EF8" w:rsidP="00FE0EF8">
      <w:pPr>
        <w:numPr>
          <w:ilvl w:val="0"/>
          <w:numId w:val="32"/>
        </w:numPr>
        <w:spacing w:after="0" w:line="360" w:lineRule="auto"/>
        <w:jc w:val="both"/>
        <w:rPr>
          <w:rFonts w:asciiTheme="majorBidi" w:hAnsiTheme="majorBidi" w:cstheme="majorBidi"/>
        </w:rPr>
      </w:pPr>
      <w:r w:rsidRPr="00B22C8C">
        <w:rPr>
          <w:rFonts w:asciiTheme="majorBidi" w:hAnsiTheme="majorBidi" w:cstheme="majorBidi"/>
        </w:rPr>
        <w:t>Local schools and educational institutions</w:t>
      </w:r>
    </w:p>
    <w:p w:rsidR="00FE0EF8" w:rsidRPr="00B22C8C" w:rsidRDefault="00FE0EF8" w:rsidP="00FE0EF8">
      <w:pPr>
        <w:numPr>
          <w:ilvl w:val="0"/>
          <w:numId w:val="32"/>
        </w:numPr>
        <w:spacing w:after="0" w:line="360" w:lineRule="auto"/>
        <w:jc w:val="both"/>
        <w:rPr>
          <w:rFonts w:asciiTheme="majorBidi" w:hAnsiTheme="majorBidi" w:cstheme="majorBidi"/>
        </w:rPr>
      </w:pPr>
      <w:r w:rsidRPr="00B22C8C">
        <w:rPr>
          <w:rFonts w:asciiTheme="majorBidi" w:hAnsiTheme="majorBidi" w:cstheme="majorBidi"/>
        </w:rPr>
        <w:t>Local government authorities</w:t>
      </w:r>
    </w:p>
    <w:p w:rsidR="00FE0EF8" w:rsidRPr="00B22C8C" w:rsidRDefault="00FE0EF8" w:rsidP="00FE0EF8">
      <w:pPr>
        <w:numPr>
          <w:ilvl w:val="0"/>
          <w:numId w:val="32"/>
        </w:numPr>
        <w:spacing w:after="0" w:line="360" w:lineRule="auto"/>
        <w:jc w:val="both"/>
        <w:rPr>
          <w:rFonts w:asciiTheme="majorBidi" w:hAnsiTheme="majorBidi" w:cstheme="majorBidi"/>
        </w:rPr>
      </w:pPr>
      <w:r w:rsidRPr="00B22C8C">
        <w:rPr>
          <w:rFonts w:asciiTheme="majorBidi" w:hAnsiTheme="majorBidi" w:cstheme="majorBidi"/>
        </w:rPr>
        <w:t>NGOs and civil society groups</w:t>
      </w:r>
    </w:p>
    <w:p w:rsidR="00FE0EF8" w:rsidRPr="00B22C8C" w:rsidRDefault="00FE0EF8" w:rsidP="00FE0EF8">
      <w:pPr>
        <w:numPr>
          <w:ilvl w:val="0"/>
          <w:numId w:val="32"/>
        </w:numPr>
        <w:spacing w:after="0" w:line="360" w:lineRule="auto"/>
        <w:jc w:val="both"/>
        <w:rPr>
          <w:rFonts w:asciiTheme="majorBidi" w:hAnsiTheme="majorBidi" w:cstheme="majorBidi"/>
        </w:rPr>
      </w:pPr>
      <w:r w:rsidRPr="00B22C8C">
        <w:rPr>
          <w:rFonts w:asciiTheme="majorBidi" w:hAnsiTheme="majorBidi" w:cstheme="majorBidi"/>
        </w:rPr>
        <w:t>Community development organizations</w:t>
      </w:r>
    </w:p>
    <w:p w:rsidR="00FE0EF8" w:rsidRPr="00B22C8C" w:rsidRDefault="00FE0EF8" w:rsidP="00FE0EF8">
      <w:pPr>
        <w:numPr>
          <w:ilvl w:val="0"/>
          <w:numId w:val="32"/>
        </w:numPr>
        <w:spacing w:after="0" w:line="360" w:lineRule="auto"/>
        <w:jc w:val="both"/>
        <w:rPr>
          <w:rFonts w:asciiTheme="majorBidi" w:hAnsiTheme="majorBidi" w:cstheme="majorBidi"/>
        </w:rPr>
      </w:pPr>
      <w:r w:rsidRPr="00B22C8C">
        <w:rPr>
          <w:rFonts w:asciiTheme="majorBidi" w:hAnsiTheme="majorBidi" w:cstheme="majorBidi"/>
        </w:rPr>
        <w:t>Industry-led CSR units</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8. Corporate Social Responsibility (CSR)</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lastRenderedPageBreak/>
        <w:t>8.1 Institutional CSR Themes</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The university prioritizes CSR initiatives in:</w:t>
      </w:r>
    </w:p>
    <w:p w:rsidR="00FE0EF8" w:rsidRPr="00B22C8C" w:rsidRDefault="00FE0EF8" w:rsidP="00FE0EF8">
      <w:pPr>
        <w:numPr>
          <w:ilvl w:val="0"/>
          <w:numId w:val="33"/>
        </w:numPr>
        <w:spacing w:after="0" w:line="360" w:lineRule="auto"/>
        <w:jc w:val="both"/>
        <w:rPr>
          <w:rFonts w:asciiTheme="majorBidi" w:hAnsiTheme="majorBidi" w:cstheme="majorBidi"/>
        </w:rPr>
      </w:pPr>
      <w:r w:rsidRPr="00B22C8C">
        <w:rPr>
          <w:rFonts w:asciiTheme="majorBidi" w:hAnsiTheme="majorBidi" w:cstheme="majorBidi"/>
        </w:rPr>
        <w:t>Education and digital inclusion</w:t>
      </w:r>
    </w:p>
    <w:p w:rsidR="00FE0EF8" w:rsidRPr="00B22C8C" w:rsidRDefault="00FE0EF8" w:rsidP="00FE0EF8">
      <w:pPr>
        <w:numPr>
          <w:ilvl w:val="0"/>
          <w:numId w:val="33"/>
        </w:numPr>
        <w:spacing w:after="0" w:line="360" w:lineRule="auto"/>
        <w:jc w:val="both"/>
        <w:rPr>
          <w:rFonts w:asciiTheme="majorBidi" w:hAnsiTheme="majorBidi" w:cstheme="majorBidi"/>
        </w:rPr>
      </w:pPr>
      <w:r w:rsidRPr="00B22C8C">
        <w:rPr>
          <w:rFonts w:asciiTheme="majorBidi" w:hAnsiTheme="majorBidi" w:cstheme="majorBidi"/>
        </w:rPr>
        <w:t>Environmental sustainability</w:t>
      </w:r>
    </w:p>
    <w:p w:rsidR="00FE0EF8" w:rsidRPr="00B22C8C" w:rsidRDefault="00FE0EF8" w:rsidP="00FE0EF8">
      <w:pPr>
        <w:numPr>
          <w:ilvl w:val="0"/>
          <w:numId w:val="33"/>
        </w:numPr>
        <w:spacing w:after="0" w:line="360" w:lineRule="auto"/>
        <w:jc w:val="both"/>
        <w:rPr>
          <w:rFonts w:asciiTheme="majorBidi" w:hAnsiTheme="majorBidi" w:cstheme="majorBidi"/>
        </w:rPr>
      </w:pPr>
      <w:r w:rsidRPr="00B22C8C">
        <w:rPr>
          <w:rFonts w:asciiTheme="majorBidi" w:hAnsiTheme="majorBidi" w:cstheme="majorBidi"/>
        </w:rPr>
        <w:t>Women’s empowerment and gender equality</w:t>
      </w:r>
    </w:p>
    <w:p w:rsidR="00FE0EF8" w:rsidRPr="00B22C8C" w:rsidRDefault="00FE0EF8" w:rsidP="00FE0EF8">
      <w:pPr>
        <w:numPr>
          <w:ilvl w:val="0"/>
          <w:numId w:val="33"/>
        </w:numPr>
        <w:spacing w:after="0" w:line="360" w:lineRule="auto"/>
        <w:jc w:val="both"/>
        <w:rPr>
          <w:rFonts w:asciiTheme="majorBidi" w:hAnsiTheme="majorBidi" w:cstheme="majorBidi"/>
        </w:rPr>
      </w:pPr>
      <w:r w:rsidRPr="00B22C8C">
        <w:rPr>
          <w:rFonts w:asciiTheme="majorBidi" w:hAnsiTheme="majorBidi" w:cstheme="majorBidi"/>
        </w:rPr>
        <w:t>Youth employment and skills development</w:t>
      </w:r>
    </w:p>
    <w:p w:rsidR="00FE0EF8" w:rsidRPr="00B22C8C" w:rsidRDefault="00FE0EF8" w:rsidP="00FE0EF8">
      <w:pPr>
        <w:numPr>
          <w:ilvl w:val="0"/>
          <w:numId w:val="33"/>
        </w:numPr>
        <w:spacing w:after="0" w:line="360" w:lineRule="auto"/>
        <w:jc w:val="both"/>
        <w:rPr>
          <w:rFonts w:asciiTheme="majorBidi" w:hAnsiTheme="majorBidi" w:cstheme="majorBidi"/>
        </w:rPr>
      </w:pPr>
      <w:r w:rsidRPr="00B22C8C">
        <w:rPr>
          <w:rFonts w:asciiTheme="majorBidi" w:hAnsiTheme="majorBidi" w:cstheme="majorBidi"/>
        </w:rPr>
        <w:t>Health and public welfare</w:t>
      </w:r>
    </w:p>
    <w:p w:rsidR="00FE0EF8" w:rsidRPr="00B22C8C" w:rsidRDefault="00FE0EF8" w:rsidP="00FE0EF8">
      <w:pPr>
        <w:numPr>
          <w:ilvl w:val="0"/>
          <w:numId w:val="33"/>
        </w:numPr>
        <w:spacing w:after="0" w:line="360" w:lineRule="auto"/>
        <w:jc w:val="both"/>
        <w:rPr>
          <w:rFonts w:asciiTheme="majorBidi" w:hAnsiTheme="majorBidi" w:cstheme="majorBidi"/>
        </w:rPr>
      </w:pPr>
      <w:r w:rsidRPr="00B22C8C">
        <w:rPr>
          <w:rFonts w:asciiTheme="majorBidi" w:hAnsiTheme="majorBidi" w:cstheme="majorBidi"/>
        </w:rPr>
        <w:t>Support for marginalized and vulnerable communities</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8.2 CSR Funding and Governance</w:t>
      </w:r>
    </w:p>
    <w:p w:rsidR="00FE0EF8" w:rsidRPr="00B22C8C" w:rsidRDefault="00FE0EF8" w:rsidP="00FE0EF8">
      <w:pPr>
        <w:numPr>
          <w:ilvl w:val="0"/>
          <w:numId w:val="34"/>
        </w:numPr>
        <w:spacing w:after="0" w:line="360" w:lineRule="auto"/>
        <w:jc w:val="both"/>
        <w:rPr>
          <w:rFonts w:asciiTheme="majorBidi" w:hAnsiTheme="majorBidi" w:cstheme="majorBidi"/>
        </w:rPr>
      </w:pPr>
      <w:r w:rsidRPr="00B22C8C">
        <w:rPr>
          <w:rFonts w:asciiTheme="majorBidi" w:hAnsiTheme="majorBidi" w:cstheme="majorBidi"/>
        </w:rPr>
        <w:t>Annual CSR budget approved by Governing Board.</w:t>
      </w:r>
    </w:p>
    <w:p w:rsidR="00FE0EF8" w:rsidRPr="00B22C8C" w:rsidRDefault="00FE0EF8" w:rsidP="00FE0EF8">
      <w:pPr>
        <w:numPr>
          <w:ilvl w:val="0"/>
          <w:numId w:val="34"/>
        </w:numPr>
        <w:spacing w:after="0" w:line="360" w:lineRule="auto"/>
        <w:jc w:val="both"/>
        <w:rPr>
          <w:rFonts w:asciiTheme="majorBidi" w:hAnsiTheme="majorBidi" w:cstheme="majorBidi"/>
        </w:rPr>
      </w:pPr>
      <w:r w:rsidRPr="00B22C8C">
        <w:rPr>
          <w:rFonts w:asciiTheme="majorBidi" w:hAnsiTheme="majorBidi" w:cstheme="majorBidi"/>
        </w:rPr>
        <w:t>Proposals vetted by CILCE and IQAC for quality and relevance.</w:t>
      </w:r>
    </w:p>
    <w:p w:rsidR="00FE0EF8" w:rsidRPr="00B22C8C" w:rsidRDefault="00FE0EF8" w:rsidP="00FE0EF8">
      <w:pPr>
        <w:numPr>
          <w:ilvl w:val="0"/>
          <w:numId w:val="34"/>
        </w:numPr>
        <w:spacing w:after="0" w:line="360" w:lineRule="auto"/>
        <w:jc w:val="both"/>
        <w:rPr>
          <w:rFonts w:asciiTheme="majorBidi" w:hAnsiTheme="majorBidi" w:cstheme="majorBidi"/>
        </w:rPr>
      </w:pPr>
      <w:r w:rsidRPr="00B22C8C">
        <w:rPr>
          <w:rFonts w:asciiTheme="majorBidi" w:hAnsiTheme="majorBidi" w:cstheme="majorBidi"/>
        </w:rPr>
        <w:t>CSR project teams responsible for implementation and reporting.</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9. Monitoring, Documentation, and Reporting</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9.1 Reporting Structure</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All community engagement and industry partnership activities must be documented and reported to:</w:t>
      </w:r>
    </w:p>
    <w:p w:rsidR="00FE0EF8" w:rsidRPr="00B22C8C" w:rsidRDefault="00FE0EF8" w:rsidP="00FE0EF8">
      <w:pPr>
        <w:numPr>
          <w:ilvl w:val="0"/>
          <w:numId w:val="35"/>
        </w:numPr>
        <w:spacing w:after="0" w:line="360" w:lineRule="auto"/>
        <w:jc w:val="both"/>
        <w:rPr>
          <w:rFonts w:asciiTheme="majorBidi" w:hAnsiTheme="majorBidi" w:cstheme="majorBidi"/>
        </w:rPr>
      </w:pPr>
      <w:r w:rsidRPr="00B22C8C">
        <w:rPr>
          <w:rFonts w:asciiTheme="majorBidi" w:hAnsiTheme="majorBidi" w:cstheme="majorBidi"/>
        </w:rPr>
        <w:t>CILCE → IQAC → Senate → Governing Board.</w:t>
      </w: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9.2 Impact Assessment</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Annual impact assessments conducted focusing on:</w:t>
      </w:r>
    </w:p>
    <w:p w:rsidR="00FE0EF8" w:rsidRPr="00B22C8C" w:rsidRDefault="00FE0EF8" w:rsidP="00FE0EF8">
      <w:pPr>
        <w:numPr>
          <w:ilvl w:val="0"/>
          <w:numId w:val="36"/>
        </w:numPr>
        <w:spacing w:after="0" w:line="360" w:lineRule="auto"/>
        <w:jc w:val="both"/>
        <w:rPr>
          <w:rFonts w:asciiTheme="majorBidi" w:hAnsiTheme="majorBidi" w:cstheme="majorBidi"/>
        </w:rPr>
      </w:pPr>
      <w:r w:rsidRPr="00B22C8C">
        <w:rPr>
          <w:rFonts w:asciiTheme="majorBidi" w:hAnsiTheme="majorBidi" w:cstheme="majorBidi"/>
        </w:rPr>
        <w:t>Beneficiary reach</w:t>
      </w:r>
    </w:p>
    <w:p w:rsidR="00FE0EF8" w:rsidRPr="00B22C8C" w:rsidRDefault="00FE0EF8" w:rsidP="00FE0EF8">
      <w:pPr>
        <w:numPr>
          <w:ilvl w:val="0"/>
          <w:numId w:val="36"/>
        </w:numPr>
        <w:spacing w:after="0" w:line="360" w:lineRule="auto"/>
        <w:jc w:val="both"/>
        <w:rPr>
          <w:rFonts w:asciiTheme="majorBidi" w:hAnsiTheme="majorBidi" w:cstheme="majorBidi"/>
        </w:rPr>
      </w:pPr>
      <w:r w:rsidRPr="00B22C8C">
        <w:rPr>
          <w:rFonts w:asciiTheme="majorBidi" w:hAnsiTheme="majorBidi" w:cstheme="majorBidi"/>
        </w:rPr>
        <w:t>Student learning outcomes</w:t>
      </w:r>
    </w:p>
    <w:p w:rsidR="00FE0EF8" w:rsidRPr="00B22C8C" w:rsidRDefault="00FE0EF8" w:rsidP="00FE0EF8">
      <w:pPr>
        <w:numPr>
          <w:ilvl w:val="0"/>
          <w:numId w:val="36"/>
        </w:numPr>
        <w:spacing w:after="0" w:line="360" w:lineRule="auto"/>
        <w:jc w:val="both"/>
        <w:rPr>
          <w:rFonts w:asciiTheme="majorBidi" w:hAnsiTheme="majorBidi" w:cstheme="majorBidi"/>
        </w:rPr>
      </w:pPr>
      <w:r w:rsidRPr="00B22C8C">
        <w:rPr>
          <w:rFonts w:asciiTheme="majorBidi" w:hAnsiTheme="majorBidi" w:cstheme="majorBidi"/>
        </w:rPr>
        <w:t>Societal impact</w:t>
      </w:r>
    </w:p>
    <w:p w:rsidR="00FE0EF8" w:rsidRPr="00B22C8C" w:rsidRDefault="00FE0EF8" w:rsidP="00FE0EF8">
      <w:pPr>
        <w:numPr>
          <w:ilvl w:val="0"/>
          <w:numId w:val="36"/>
        </w:numPr>
        <w:spacing w:after="0" w:line="360" w:lineRule="auto"/>
        <w:jc w:val="both"/>
        <w:rPr>
          <w:rFonts w:asciiTheme="majorBidi" w:hAnsiTheme="majorBidi" w:cstheme="majorBidi"/>
        </w:rPr>
      </w:pPr>
      <w:r w:rsidRPr="00B22C8C">
        <w:rPr>
          <w:rFonts w:asciiTheme="majorBidi" w:hAnsiTheme="majorBidi" w:cstheme="majorBidi"/>
        </w:rPr>
        <w:t>Industry feedback</w:t>
      </w:r>
    </w:p>
    <w:p w:rsidR="00FE0EF8" w:rsidRDefault="00FE0EF8" w:rsidP="00FE0EF8">
      <w:pPr>
        <w:numPr>
          <w:ilvl w:val="0"/>
          <w:numId w:val="36"/>
        </w:numPr>
        <w:spacing w:after="0" w:line="360" w:lineRule="auto"/>
        <w:jc w:val="both"/>
        <w:rPr>
          <w:rFonts w:asciiTheme="majorBidi" w:hAnsiTheme="majorBidi" w:cstheme="majorBidi"/>
        </w:rPr>
      </w:pPr>
      <w:r w:rsidRPr="00B22C8C">
        <w:rPr>
          <w:rFonts w:asciiTheme="majorBidi" w:hAnsiTheme="majorBidi" w:cstheme="majorBidi"/>
        </w:rPr>
        <w:t>Sustainability indicators</w:t>
      </w:r>
    </w:p>
    <w:p w:rsidR="00FE0EF8" w:rsidRPr="00B22C8C" w:rsidRDefault="00FE0EF8" w:rsidP="00FE0EF8">
      <w:pPr>
        <w:spacing w:after="0" w:line="360" w:lineRule="auto"/>
        <w:ind w:left="720"/>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9.3 Recognition and Awards</w:t>
      </w:r>
    </w:p>
    <w:p w:rsidR="00FE0EF8" w:rsidRPr="00B22C8C" w:rsidRDefault="00FE0EF8" w:rsidP="00FE0EF8">
      <w:pPr>
        <w:spacing w:after="0" w:line="360" w:lineRule="auto"/>
        <w:jc w:val="both"/>
        <w:rPr>
          <w:rFonts w:asciiTheme="majorBidi" w:hAnsiTheme="majorBidi" w:cstheme="majorBidi"/>
        </w:rPr>
      </w:pPr>
      <w:r w:rsidRPr="00B22C8C">
        <w:rPr>
          <w:rFonts w:asciiTheme="majorBidi" w:hAnsiTheme="majorBidi" w:cstheme="majorBidi"/>
        </w:rPr>
        <w:t>The institution encourages:</w:t>
      </w:r>
    </w:p>
    <w:p w:rsidR="00FE0EF8" w:rsidRPr="00B22C8C" w:rsidRDefault="00FE0EF8" w:rsidP="00FE0EF8">
      <w:pPr>
        <w:numPr>
          <w:ilvl w:val="0"/>
          <w:numId w:val="37"/>
        </w:numPr>
        <w:spacing w:after="0" w:line="360" w:lineRule="auto"/>
        <w:jc w:val="both"/>
        <w:rPr>
          <w:rFonts w:asciiTheme="majorBidi" w:hAnsiTheme="majorBidi" w:cstheme="majorBidi"/>
        </w:rPr>
      </w:pPr>
      <w:r w:rsidRPr="00B22C8C">
        <w:rPr>
          <w:rFonts w:asciiTheme="majorBidi" w:hAnsiTheme="majorBidi" w:cstheme="majorBidi"/>
        </w:rPr>
        <w:t>Awards for outstanding community engagement;</w:t>
      </w:r>
    </w:p>
    <w:p w:rsidR="00FE0EF8" w:rsidRPr="00B22C8C" w:rsidRDefault="00FE0EF8" w:rsidP="00FE0EF8">
      <w:pPr>
        <w:numPr>
          <w:ilvl w:val="0"/>
          <w:numId w:val="37"/>
        </w:numPr>
        <w:spacing w:after="0" w:line="360" w:lineRule="auto"/>
        <w:jc w:val="both"/>
        <w:rPr>
          <w:rFonts w:asciiTheme="majorBidi" w:hAnsiTheme="majorBidi" w:cstheme="majorBidi"/>
        </w:rPr>
      </w:pPr>
      <w:r w:rsidRPr="00B22C8C">
        <w:rPr>
          <w:rFonts w:asciiTheme="majorBidi" w:hAnsiTheme="majorBidi" w:cstheme="majorBidi"/>
        </w:rPr>
        <w:t>Recognition for industry partners;</w:t>
      </w:r>
    </w:p>
    <w:p w:rsidR="00FE0EF8" w:rsidRPr="00B22C8C" w:rsidRDefault="00FE0EF8" w:rsidP="00FE0EF8">
      <w:pPr>
        <w:numPr>
          <w:ilvl w:val="0"/>
          <w:numId w:val="37"/>
        </w:numPr>
        <w:spacing w:after="0" w:line="360" w:lineRule="auto"/>
        <w:jc w:val="both"/>
        <w:rPr>
          <w:rFonts w:asciiTheme="majorBidi" w:hAnsiTheme="majorBidi" w:cstheme="majorBidi"/>
        </w:rPr>
      </w:pPr>
      <w:r w:rsidRPr="00B22C8C">
        <w:rPr>
          <w:rFonts w:asciiTheme="majorBidi" w:hAnsiTheme="majorBidi" w:cstheme="majorBidi"/>
        </w:rPr>
        <w:t>Publication of success stories in annual reports.</w:t>
      </w:r>
    </w:p>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10. Responsibilities</w:t>
      </w:r>
    </w:p>
    <w:tbl>
      <w:tblPr>
        <w:tblStyle w:val="TableGrid"/>
        <w:tblW w:w="0" w:type="auto"/>
        <w:tblLook w:val="04A0" w:firstRow="1" w:lastRow="0" w:firstColumn="1" w:lastColumn="0" w:noHBand="0" w:noVBand="1"/>
      </w:tblPr>
      <w:tblGrid>
        <w:gridCol w:w="1889"/>
        <w:gridCol w:w="6549"/>
      </w:tblGrid>
      <w:tr w:rsidR="00FE0EF8" w:rsidRPr="00B22C8C" w:rsidTr="00D55684">
        <w:tc>
          <w:tcPr>
            <w:tcW w:w="0" w:type="auto"/>
            <w:shd w:val="clear" w:color="auto" w:fill="2F5496" w:themeFill="accent1" w:themeFillShade="BF"/>
            <w:hideMark/>
          </w:tcPr>
          <w:p w:rsidR="00FE0EF8" w:rsidRPr="00B22C8C" w:rsidRDefault="00FE0EF8" w:rsidP="00D55684">
            <w:pPr>
              <w:spacing w:line="360" w:lineRule="auto"/>
              <w:jc w:val="both"/>
              <w:rPr>
                <w:rFonts w:asciiTheme="majorBidi" w:hAnsiTheme="majorBidi" w:cstheme="majorBidi"/>
                <w:b/>
                <w:bCs/>
              </w:rPr>
            </w:pPr>
            <w:r w:rsidRPr="00B22C8C">
              <w:rPr>
                <w:rFonts w:asciiTheme="majorBidi" w:hAnsiTheme="majorBidi" w:cstheme="majorBidi"/>
                <w:b/>
                <w:bCs/>
              </w:rPr>
              <w:lastRenderedPageBreak/>
              <w:t>Entity</w:t>
            </w:r>
          </w:p>
        </w:tc>
        <w:tc>
          <w:tcPr>
            <w:tcW w:w="0" w:type="auto"/>
            <w:shd w:val="clear" w:color="auto" w:fill="2F5496" w:themeFill="accent1" w:themeFillShade="BF"/>
            <w:hideMark/>
          </w:tcPr>
          <w:p w:rsidR="00FE0EF8" w:rsidRPr="00B22C8C" w:rsidRDefault="00FE0EF8" w:rsidP="00D55684">
            <w:pPr>
              <w:spacing w:line="360" w:lineRule="auto"/>
              <w:jc w:val="both"/>
              <w:rPr>
                <w:rFonts w:asciiTheme="majorBidi" w:hAnsiTheme="majorBidi" w:cstheme="majorBidi"/>
                <w:b/>
                <w:bCs/>
              </w:rPr>
            </w:pPr>
            <w:r w:rsidRPr="00B22C8C">
              <w:rPr>
                <w:rFonts w:asciiTheme="majorBidi" w:hAnsiTheme="majorBidi" w:cstheme="majorBidi"/>
                <w:b/>
                <w:bCs/>
              </w:rPr>
              <w:t>Key Responsibilities</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Governing Board</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Approves major partnerships and CSR strategies.</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Senate</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Ensures alignment of partnerships with academic goals.</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IQAC</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Monitors integration of engagement activities within QA systems.</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CILCE</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Coordinates partnerships, CSR initiatives, and outreach activities.</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Deans &amp; Heads</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 xml:space="preserve">Facilitate faculty-level </w:t>
            </w:r>
            <w:proofErr w:type="spellStart"/>
            <w:r w:rsidRPr="00B22C8C">
              <w:rPr>
                <w:rFonts w:asciiTheme="majorBidi" w:hAnsiTheme="majorBidi" w:cstheme="majorBidi"/>
              </w:rPr>
              <w:t>programmes</w:t>
            </w:r>
            <w:proofErr w:type="spellEnd"/>
            <w:r w:rsidRPr="00B22C8C">
              <w:rPr>
                <w:rFonts w:asciiTheme="majorBidi" w:hAnsiTheme="majorBidi" w:cstheme="majorBidi"/>
              </w:rPr>
              <w:t xml:space="preserve"> and collaboration.</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Staff</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Engage in outreach, contribute expertise, mentor students.</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Students</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Participate actively in community and industry initiatives.</w:t>
            </w:r>
          </w:p>
        </w:tc>
      </w:tr>
      <w:tr w:rsidR="00FE0EF8" w:rsidRPr="00B22C8C" w:rsidTr="00D55684">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External Partners</w:t>
            </w:r>
          </w:p>
        </w:tc>
        <w:tc>
          <w:tcPr>
            <w:tcW w:w="0" w:type="auto"/>
            <w:hideMark/>
          </w:tcPr>
          <w:p w:rsidR="00FE0EF8" w:rsidRPr="00B22C8C" w:rsidRDefault="00FE0EF8" w:rsidP="00D55684">
            <w:pPr>
              <w:spacing w:line="360" w:lineRule="auto"/>
              <w:jc w:val="both"/>
              <w:rPr>
                <w:rFonts w:asciiTheme="majorBidi" w:hAnsiTheme="majorBidi" w:cstheme="majorBidi"/>
              </w:rPr>
            </w:pPr>
            <w:r w:rsidRPr="00B22C8C">
              <w:rPr>
                <w:rFonts w:asciiTheme="majorBidi" w:hAnsiTheme="majorBidi" w:cstheme="majorBidi"/>
              </w:rPr>
              <w:t>Support collaboration, training, and knowledge sharing.</w:t>
            </w:r>
          </w:p>
        </w:tc>
      </w:tr>
    </w:tbl>
    <w:p w:rsidR="00FE0EF8" w:rsidRPr="00B22C8C" w:rsidRDefault="00FE0EF8" w:rsidP="00FE0EF8">
      <w:pPr>
        <w:spacing w:after="0" w:line="360" w:lineRule="auto"/>
        <w:jc w:val="both"/>
        <w:rPr>
          <w:rFonts w:asciiTheme="majorBidi" w:hAnsiTheme="majorBidi" w:cstheme="majorBidi"/>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11. Review and Amendment</w:t>
      </w:r>
    </w:p>
    <w:p w:rsidR="00FE0EF8" w:rsidRPr="00B22C8C" w:rsidRDefault="00FE0EF8" w:rsidP="00FE0EF8">
      <w:pPr>
        <w:numPr>
          <w:ilvl w:val="0"/>
          <w:numId w:val="38"/>
        </w:numPr>
        <w:spacing w:after="0" w:line="360" w:lineRule="auto"/>
        <w:jc w:val="both"/>
        <w:rPr>
          <w:rFonts w:asciiTheme="majorBidi" w:hAnsiTheme="majorBidi" w:cstheme="majorBidi"/>
        </w:rPr>
      </w:pPr>
      <w:r w:rsidRPr="00B22C8C">
        <w:rPr>
          <w:rFonts w:asciiTheme="majorBidi" w:hAnsiTheme="majorBidi" w:cstheme="majorBidi"/>
        </w:rPr>
        <w:t xml:space="preserve">Policy reviewed every </w:t>
      </w:r>
      <w:r w:rsidRPr="00B22C8C">
        <w:rPr>
          <w:rFonts w:asciiTheme="majorBidi" w:hAnsiTheme="majorBidi" w:cstheme="majorBidi"/>
          <w:b/>
          <w:bCs/>
        </w:rPr>
        <w:t>three (3) years</w:t>
      </w:r>
      <w:r w:rsidRPr="00B22C8C">
        <w:rPr>
          <w:rFonts w:asciiTheme="majorBidi" w:hAnsiTheme="majorBidi" w:cstheme="majorBidi"/>
        </w:rPr>
        <w:t xml:space="preserve"> or earlier based on institutional or regulatory changes.</w:t>
      </w:r>
    </w:p>
    <w:p w:rsidR="00FE0EF8" w:rsidRPr="00B22C8C" w:rsidRDefault="00FE0EF8" w:rsidP="00FE0EF8">
      <w:pPr>
        <w:numPr>
          <w:ilvl w:val="0"/>
          <w:numId w:val="38"/>
        </w:numPr>
        <w:spacing w:after="0" w:line="360" w:lineRule="auto"/>
        <w:jc w:val="both"/>
        <w:rPr>
          <w:rFonts w:asciiTheme="majorBidi" w:hAnsiTheme="majorBidi" w:cstheme="majorBidi"/>
        </w:rPr>
      </w:pPr>
      <w:r w:rsidRPr="00B22C8C">
        <w:rPr>
          <w:rFonts w:asciiTheme="majorBidi" w:hAnsiTheme="majorBidi" w:cstheme="majorBidi"/>
        </w:rPr>
        <w:t>Amendments proposed by CILCE → endorsed by IQAC → approved by Governing Board.</w:t>
      </w:r>
    </w:p>
    <w:p w:rsidR="00FE0EF8" w:rsidRPr="00B22C8C" w:rsidRDefault="00FE0EF8" w:rsidP="00FE0EF8">
      <w:pPr>
        <w:numPr>
          <w:ilvl w:val="0"/>
          <w:numId w:val="38"/>
        </w:numPr>
        <w:spacing w:after="0" w:line="360" w:lineRule="auto"/>
        <w:jc w:val="both"/>
        <w:rPr>
          <w:rFonts w:asciiTheme="majorBidi" w:hAnsiTheme="majorBidi" w:cstheme="majorBidi"/>
        </w:rPr>
      </w:pPr>
      <w:r w:rsidRPr="00B22C8C">
        <w:rPr>
          <w:rFonts w:asciiTheme="majorBidi" w:hAnsiTheme="majorBidi" w:cstheme="majorBidi"/>
        </w:rPr>
        <w:t xml:space="preserve">All changes recorded in the </w:t>
      </w:r>
      <w:r w:rsidRPr="00B22C8C">
        <w:rPr>
          <w:rFonts w:asciiTheme="majorBidi" w:hAnsiTheme="majorBidi" w:cstheme="majorBidi"/>
          <w:b/>
          <w:bCs/>
        </w:rPr>
        <w:t>Policy Version Register</w:t>
      </w:r>
      <w:r w:rsidRPr="00B22C8C">
        <w:rPr>
          <w:rFonts w:asciiTheme="majorBidi" w:hAnsiTheme="majorBidi" w:cstheme="majorBidi"/>
        </w:rPr>
        <w:t>.</w:t>
      </w:r>
    </w:p>
    <w:p w:rsidR="00FE0EF8" w:rsidRPr="00B22C8C" w:rsidRDefault="00FE0EF8" w:rsidP="00FE0EF8">
      <w:pPr>
        <w:spacing w:after="0" w:line="360" w:lineRule="auto"/>
        <w:jc w:val="both"/>
        <w:rPr>
          <w:rFonts w:asciiTheme="majorBidi" w:hAnsiTheme="majorBidi" w:cstheme="majorBidi"/>
          <w:sz w:val="8"/>
          <w:szCs w:val="8"/>
        </w:rPr>
      </w:pPr>
    </w:p>
    <w:p w:rsidR="00FE0EF8" w:rsidRPr="00B22C8C" w:rsidRDefault="00FE0EF8" w:rsidP="00FE0EF8">
      <w:pPr>
        <w:spacing w:after="0" w:line="360" w:lineRule="auto"/>
        <w:jc w:val="both"/>
        <w:rPr>
          <w:rFonts w:asciiTheme="majorBidi" w:hAnsiTheme="majorBidi" w:cstheme="majorBidi"/>
          <w:b/>
          <w:bCs/>
        </w:rPr>
      </w:pPr>
      <w:r w:rsidRPr="00B22C8C">
        <w:rPr>
          <w:rFonts w:asciiTheme="majorBidi" w:hAnsiTheme="majorBidi" w:cstheme="majorBidi"/>
          <w:b/>
          <w:bCs/>
        </w:rPr>
        <w:t>12. Related Documents</w:t>
      </w:r>
    </w:p>
    <w:p w:rsidR="00FE0EF8" w:rsidRPr="00B22C8C" w:rsidRDefault="00FE0EF8" w:rsidP="00FE0EF8">
      <w:pPr>
        <w:numPr>
          <w:ilvl w:val="0"/>
          <w:numId w:val="39"/>
        </w:numPr>
        <w:spacing w:after="0" w:line="360" w:lineRule="auto"/>
        <w:jc w:val="both"/>
        <w:rPr>
          <w:rFonts w:asciiTheme="majorBidi" w:hAnsiTheme="majorBidi" w:cstheme="majorBidi"/>
        </w:rPr>
      </w:pPr>
      <w:r w:rsidRPr="00B22C8C">
        <w:rPr>
          <w:rFonts w:asciiTheme="majorBidi" w:hAnsiTheme="majorBidi" w:cstheme="majorBidi"/>
        </w:rPr>
        <w:t>Internship and Industrial Training Policy</w:t>
      </w:r>
    </w:p>
    <w:p w:rsidR="00FE0EF8" w:rsidRPr="00B22C8C" w:rsidRDefault="00FE0EF8" w:rsidP="00FE0EF8">
      <w:pPr>
        <w:numPr>
          <w:ilvl w:val="0"/>
          <w:numId w:val="39"/>
        </w:numPr>
        <w:spacing w:after="0" w:line="360" w:lineRule="auto"/>
        <w:jc w:val="both"/>
        <w:rPr>
          <w:rFonts w:asciiTheme="majorBidi" w:hAnsiTheme="majorBidi" w:cstheme="majorBidi"/>
        </w:rPr>
      </w:pPr>
      <w:r w:rsidRPr="00B22C8C">
        <w:rPr>
          <w:rFonts w:asciiTheme="majorBidi" w:hAnsiTheme="majorBidi" w:cstheme="majorBidi"/>
        </w:rPr>
        <w:t>Research, Innovation, and Ethics Policy</w:t>
      </w:r>
    </w:p>
    <w:p w:rsidR="00FE0EF8" w:rsidRPr="00B22C8C" w:rsidRDefault="00FE0EF8" w:rsidP="00FE0EF8">
      <w:pPr>
        <w:numPr>
          <w:ilvl w:val="0"/>
          <w:numId w:val="39"/>
        </w:numPr>
        <w:spacing w:after="0" w:line="360" w:lineRule="auto"/>
        <w:jc w:val="both"/>
        <w:rPr>
          <w:rFonts w:asciiTheme="majorBidi" w:hAnsiTheme="majorBidi" w:cstheme="majorBidi"/>
        </w:rPr>
      </w:pPr>
      <w:r w:rsidRPr="00B22C8C">
        <w:rPr>
          <w:rFonts w:asciiTheme="majorBidi" w:hAnsiTheme="majorBidi" w:cstheme="majorBidi"/>
        </w:rPr>
        <w:t>Student Support and Welfare Policy</w:t>
      </w:r>
    </w:p>
    <w:p w:rsidR="00FE0EF8" w:rsidRPr="00B22C8C" w:rsidRDefault="00FE0EF8" w:rsidP="00FE0EF8">
      <w:pPr>
        <w:numPr>
          <w:ilvl w:val="0"/>
          <w:numId w:val="39"/>
        </w:numPr>
        <w:spacing w:after="0" w:line="360" w:lineRule="auto"/>
        <w:jc w:val="both"/>
        <w:rPr>
          <w:rFonts w:asciiTheme="majorBidi" w:hAnsiTheme="majorBidi" w:cstheme="majorBidi"/>
        </w:rPr>
      </w:pPr>
      <w:r w:rsidRPr="00B22C8C">
        <w:rPr>
          <w:rFonts w:asciiTheme="majorBidi" w:hAnsiTheme="majorBidi" w:cstheme="majorBidi"/>
        </w:rPr>
        <w:t>Equal Opportunity, Diversity, and Inclusion Policy</w:t>
      </w:r>
    </w:p>
    <w:p w:rsidR="00FE0EF8" w:rsidRPr="00B22C8C" w:rsidRDefault="00FE0EF8" w:rsidP="00FE0EF8">
      <w:pPr>
        <w:numPr>
          <w:ilvl w:val="0"/>
          <w:numId w:val="39"/>
        </w:numPr>
        <w:spacing w:after="0" w:line="360" w:lineRule="auto"/>
        <w:jc w:val="both"/>
        <w:rPr>
          <w:rFonts w:asciiTheme="majorBidi" w:hAnsiTheme="majorBidi" w:cstheme="majorBidi"/>
        </w:rPr>
      </w:pPr>
      <w:r w:rsidRPr="00B22C8C">
        <w:rPr>
          <w:rFonts w:asciiTheme="majorBidi" w:hAnsiTheme="majorBidi" w:cstheme="majorBidi"/>
        </w:rPr>
        <w:t>Staff Recruitment and Development Policy</w:t>
      </w:r>
    </w:p>
    <w:p w:rsidR="00FE0EF8" w:rsidRPr="00B22C8C" w:rsidRDefault="00FE0EF8" w:rsidP="00FE0EF8">
      <w:pPr>
        <w:numPr>
          <w:ilvl w:val="0"/>
          <w:numId w:val="39"/>
        </w:numPr>
        <w:spacing w:after="0" w:line="360" w:lineRule="auto"/>
        <w:jc w:val="both"/>
        <w:rPr>
          <w:rFonts w:asciiTheme="majorBidi" w:hAnsiTheme="majorBidi" w:cstheme="majorBidi"/>
        </w:rPr>
      </w:pPr>
      <w:r w:rsidRPr="00B22C8C">
        <w:rPr>
          <w:rFonts w:asciiTheme="majorBidi" w:hAnsiTheme="majorBidi" w:cstheme="majorBidi"/>
        </w:rPr>
        <w:t>Institutional MoU Guidelines</w:t>
      </w:r>
    </w:p>
    <w:p w:rsidR="00FE0EF8" w:rsidRDefault="00FE0EF8" w:rsidP="00FE0EF8">
      <w:pPr>
        <w:numPr>
          <w:ilvl w:val="0"/>
          <w:numId w:val="39"/>
        </w:numPr>
        <w:spacing w:after="0" w:line="360" w:lineRule="auto"/>
        <w:jc w:val="both"/>
        <w:rPr>
          <w:rFonts w:asciiTheme="majorBidi" w:hAnsiTheme="majorBidi" w:cstheme="majorBidi"/>
        </w:rPr>
      </w:pPr>
      <w:r w:rsidRPr="00B22C8C">
        <w:rPr>
          <w:rFonts w:asciiTheme="majorBidi" w:hAnsiTheme="majorBidi" w:cstheme="majorBidi"/>
        </w:rPr>
        <w:t>QAAC &amp; SLQF Standards</w:t>
      </w:r>
    </w:p>
    <w:p w:rsidR="00AC76E0" w:rsidRPr="00FE0EF8" w:rsidRDefault="00FE0EF8" w:rsidP="00FE0EF8"/>
    <w:sectPr w:rsidR="00AC76E0" w:rsidRPr="00FE0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41D"/>
    <w:multiLevelType w:val="multilevel"/>
    <w:tmpl w:val="E20C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03A7"/>
    <w:multiLevelType w:val="multilevel"/>
    <w:tmpl w:val="8D56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76FAD"/>
    <w:multiLevelType w:val="multilevel"/>
    <w:tmpl w:val="2DA2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A1A4A"/>
    <w:multiLevelType w:val="multilevel"/>
    <w:tmpl w:val="859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16971"/>
    <w:multiLevelType w:val="multilevel"/>
    <w:tmpl w:val="BCD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466C3"/>
    <w:multiLevelType w:val="multilevel"/>
    <w:tmpl w:val="168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3A26"/>
    <w:multiLevelType w:val="multilevel"/>
    <w:tmpl w:val="08E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76927"/>
    <w:multiLevelType w:val="multilevel"/>
    <w:tmpl w:val="73B4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2766F"/>
    <w:multiLevelType w:val="multilevel"/>
    <w:tmpl w:val="86A4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73D53"/>
    <w:multiLevelType w:val="multilevel"/>
    <w:tmpl w:val="AC68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53643"/>
    <w:multiLevelType w:val="multilevel"/>
    <w:tmpl w:val="B6D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52E60"/>
    <w:multiLevelType w:val="multilevel"/>
    <w:tmpl w:val="A294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C36F3"/>
    <w:multiLevelType w:val="multilevel"/>
    <w:tmpl w:val="A540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52841"/>
    <w:multiLevelType w:val="multilevel"/>
    <w:tmpl w:val="22C4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90E95"/>
    <w:multiLevelType w:val="multilevel"/>
    <w:tmpl w:val="4158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C2280"/>
    <w:multiLevelType w:val="multilevel"/>
    <w:tmpl w:val="8508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F6C45"/>
    <w:multiLevelType w:val="multilevel"/>
    <w:tmpl w:val="D58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9795D"/>
    <w:multiLevelType w:val="multilevel"/>
    <w:tmpl w:val="691A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7E08A6"/>
    <w:multiLevelType w:val="multilevel"/>
    <w:tmpl w:val="0ED8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73533"/>
    <w:multiLevelType w:val="multilevel"/>
    <w:tmpl w:val="6096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944EC"/>
    <w:multiLevelType w:val="multilevel"/>
    <w:tmpl w:val="C98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81367"/>
    <w:multiLevelType w:val="multilevel"/>
    <w:tmpl w:val="FB50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1387A"/>
    <w:multiLevelType w:val="multilevel"/>
    <w:tmpl w:val="AC84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06C51"/>
    <w:multiLevelType w:val="multilevel"/>
    <w:tmpl w:val="6532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45062"/>
    <w:multiLevelType w:val="multilevel"/>
    <w:tmpl w:val="F1FE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B0E1E"/>
    <w:multiLevelType w:val="multilevel"/>
    <w:tmpl w:val="AFEC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9177B"/>
    <w:multiLevelType w:val="multilevel"/>
    <w:tmpl w:val="18B0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32439"/>
    <w:multiLevelType w:val="multilevel"/>
    <w:tmpl w:val="A958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B7285"/>
    <w:multiLevelType w:val="multilevel"/>
    <w:tmpl w:val="406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2135D"/>
    <w:multiLevelType w:val="multilevel"/>
    <w:tmpl w:val="FE2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44BA5"/>
    <w:multiLevelType w:val="multilevel"/>
    <w:tmpl w:val="7FB0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C7567"/>
    <w:multiLevelType w:val="multilevel"/>
    <w:tmpl w:val="5DD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65C0A"/>
    <w:multiLevelType w:val="multilevel"/>
    <w:tmpl w:val="8D5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43488"/>
    <w:multiLevelType w:val="multilevel"/>
    <w:tmpl w:val="E800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DB6C0C"/>
    <w:multiLevelType w:val="multilevel"/>
    <w:tmpl w:val="B492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F27EB3"/>
    <w:multiLevelType w:val="multilevel"/>
    <w:tmpl w:val="EB6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C828F3"/>
    <w:multiLevelType w:val="multilevel"/>
    <w:tmpl w:val="416E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764BA5"/>
    <w:multiLevelType w:val="multilevel"/>
    <w:tmpl w:val="8F7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1048BF"/>
    <w:multiLevelType w:val="multilevel"/>
    <w:tmpl w:val="3A20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33"/>
  </w:num>
  <w:num w:numId="4">
    <w:abstractNumId w:val="17"/>
  </w:num>
  <w:num w:numId="5">
    <w:abstractNumId w:val="2"/>
  </w:num>
  <w:num w:numId="6">
    <w:abstractNumId w:val="32"/>
  </w:num>
  <w:num w:numId="7">
    <w:abstractNumId w:val="15"/>
  </w:num>
  <w:num w:numId="8">
    <w:abstractNumId w:val="19"/>
  </w:num>
  <w:num w:numId="9">
    <w:abstractNumId w:val="6"/>
  </w:num>
  <w:num w:numId="10">
    <w:abstractNumId w:val="18"/>
  </w:num>
  <w:num w:numId="11">
    <w:abstractNumId w:val="27"/>
  </w:num>
  <w:num w:numId="12">
    <w:abstractNumId w:val="22"/>
  </w:num>
  <w:num w:numId="13">
    <w:abstractNumId w:val="36"/>
  </w:num>
  <w:num w:numId="14">
    <w:abstractNumId w:val="24"/>
  </w:num>
  <w:num w:numId="15">
    <w:abstractNumId w:val="7"/>
  </w:num>
  <w:num w:numId="16">
    <w:abstractNumId w:val="34"/>
  </w:num>
  <w:num w:numId="17">
    <w:abstractNumId w:val="25"/>
  </w:num>
  <w:num w:numId="18">
    <w:abstractNumId w:val="10"/>
  </w:num>
  <w:num w:numId="19">
    <w:abstractNumId w:val="14"/>
  </w:num>
  <w:num w:numId="20">
    <w:abstractNumId w:val="11"/>
  </w:num>
  <w:num w:numId="21">
    <w:abstractNumId w:val="16"/>
  </w:num>
  <w:num w:numId="22">
    <w:abstractNumId w:val="31"/>
  </w:num>
  <w:num w:numId="23">
    <w:abstractNumId w:val="8"/>
  </w:num>
  <w:num w:numId="24">
    <w:abstractNumId w:val="23"/>
  </w:num>
  <w:num w:numId="25">
    <w:abstractNumId w:val="3"/>
  </w:num>
  <w:num w:numId="26">
    <w:abstractNumId w:val="35"/>
  </w:num>
  <w:num w:numId="27">
    <w:abstractNumId w:val="4"/>
  </w:num>
  <w:num w:numId="28">
    <w:abstractNumId w:val="30"/>
  </w:num>
  <w:num w:numId="29">
    <w:abstractNumId w:val="1"/>
  </w:num>
  <w:num w:numId="30">
    <w:abstractNumId w:val="38"/>
  </w:num>
  <w:num w:numId="31">
    <w:abstractNumId w:val="20"/>
  </w:num>
  <w:num w:numId="32">
    <w:abstractNumId w:val="0"/>
  </w:num>
  <w:num w:numId="33">
    <w:abstractNumId w:val="28"/>
  </w:num>
  <w:num w:numId="34">
    <w:abstractNumId w:val="37"/>
  </w:num>
  <w:num w:numId="35">
    <w:abstractNumId w:val="5"/>
  </w:num>
  <w:num w:numId="36">
    <w:abstractNumId w:val="13"/>
  </w:num>
  <w:num w:numId="37">
    <w:abstractNumId w:val="29"/>
  </w:num>
  <w:num w:numId="38">
    <w:abstractNumId w:val="2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C5"/>
    <w:rsid w:val="005614C5"/>
    <w:rsid w:val="009A517E"/>
    <w:rsid w:val="00D168DA"/>
    <w:rsid w:val="00FE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B8BC"/>
  <w15:chartTrackingRefBased/>
  <w15:docId w15:val="{CD63A0CF-8A20-43B9-96CC-5F452E65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4C5"/>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4C5"/>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TWINTECH</dc:creator>
  <cp:keywords/>
  <dc:description/>
  <cp:lastModifiedBy>TWINTECH</cp:lastModifiedBy>
  <cp:revision>2</cp:revision>
  <dcterms:created xsi:type="dcterms:W3CDTF">2025-12-15T10:14:00Z</dcterms:created>
  <dcterms:modified xsi:type="dcterms:W3CDTF">2025-12-15T10:14:00Z</dcterms:modified>
</cp:coreProperties>
</file>