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9E3A3D">
        <w:rPr>
          <w:rFonts w:asciiTheme="majorBidi" w:hAnsiTheme="majorBidi" w:cstheme="majorBidi"/>
          <w:b/>
          <w:bCs/>
        </w:rPr>
        <w:t>Infortec</w:t>
      </w:r>
      <w:proofErr w:type="spellEnd"/>
      <w:r w:rsidRPr="009E3A3D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9E3A3D">
        <w:rPr>
          <w:rFonts w:asciiTheme="majorBidi" w:hAnsiTheme="majorBidi" w:cstheme="majorBidi"/>
          <w:b/>
          <w:bCs/>
        </w:rPr>
        <w:t>Alumni Relations and Graduate Employability Policy</w:t>
      </w:r>
    </w:p>
    <w:bookmarkEnd w:id="0"/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9E3A3D">
        <w:rPr>
          <w:rFonts w:asciiTheme="majorBidi" w:hAnsiTheme="majorBidi" w:cstheme="majorBidi"/>
          <w:b/>
          <w:bCs/>
        </w:rPr>
        <w:t>Infortec</w:t>
      </w:r>
      <w:proofErr w:type="spellEnd"/>
      <w:r w:rsidRPr="009E3A3D">
        <w:rPr>
          <w:rFonts w:asciiTheme="majorBidi" w:hAnsiTheme="majorBidi" w:cstheme="majorBidi"/>
          <w:b/>
          <w:bCs/>
        </w:rPr>
        <w:t>/IQAC/P/039/11/25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CE02AC" w:rsidRPr="009E3A3D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CE02AC" w:rsidRPr="009E3A3D" w:rsidTr="00D55684"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1. Preamble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Alumni are vital stakeholders who contribute to institutional reputation, student development, industry engagement, and strategic growth.</w:t>
      </w:r>
      <w:r w:rsidRPr="009E3A3D">
        <w:rPr>
          <w:rFonts w:asciiTheme="majorBidi" w:hAnsiTheme="majorBidi" w:cstheme="majorBidi"/>
        </w:rPr>
        <w:br/>
        <w:t xml:space="preserve">Similarly, graduate employability is an essential measure of academic quality and the relevance of </w:t>
      </w:r>
      <w:proofErr w:type="spellStart"/>
      <w:r w:rsidRPr="009E3A3D">
        <w:rPr>
          <w:rFonts w:asciiTheme="majorBidi" w:hAnsiTheme="majorBidi" w:cstheme="majorBidi"/>
        </w:rPr>
        <w:t>programmes</w:t>
      </w:r>
      <w:proofErr w:type="spellEnd"/>
      <w:r w:rsidRPr="009E3A3D">
        <w:rPr>
          <w:rFonts w:asciiTheme="majorBidi" w:hAnsiTheme="majorBidi" w:cstheme="majorBidi"/>
        </w:rPr>
        <w:t>.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9E3A3D">
        <w:rPr>
          <w:rFonts w:asciiTheme="majorBidi" w:hAnsiTheme="majorBidi" w:cstheme="majorBidi"/>
        </w:rPr>
        <w:t>Infortec</w:t>
      </w:r>
      <w:proofErr w:type="spellEnd"/>
      <w:r w:rsidRPr="009E3A3D">
        <w:rPr>
          <w:rFonts w:asciiTheme="majorBidi" w:hAnsiTheme="majorBidi" w:cstheme="majorBidi"/>
        </w:rPr>
        <w:t xml:space="preserve"> International Technologies (University Division) is committed to building strong lifelong relationships with alumni and strengthening the employability of all graduates through structured career development, industry connections, and continuous feedback mechanisms.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This policy aligns with:</w:t>
      </w:r>
    </w:p>
    <w:p w:rsidR="00CE02AC" w:rsidRPr="009E3A3D" w:rsidRDefault="00CE02AC" w:rsidP="00CE02AC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QAAC standards on student support, employability, and stakeholder engagement</w:t>
      </w:r>
    </w:p>
    <w:p w:rsidR="00CE02AC" w:rsidRPr="009E3A3D" w:rsidRDefault="00CE02AC" w:rsidP="00CE02AC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National higher education employability frameworks</w:t>
      </w:r>
    </w:p>
    <w:p w:rsidR="00CE02AC" w:rsidRPr="009E3A3D" w:rsidRDefault="00CE02AC" w:rsidP="00CE02AC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International best practices in alumni engagement and career development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2. Policy Statement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The University Division shall:</w:t>
      </w:r>
    </w:p>
    <w:p w:rsidR="00CE02AC" w:rsidRPr="009E3A3D" w:rsidRDefault="00CE02AC" w:rsidP="00CE02AC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Establish a strong, collaborative, and active alumni network</w:t>
      </w:r>
    </w:p>
    <w:p w:rsidR="00CE02AC" w:rsidRPr="009E3A3D" w:rsidRDefault="00CE02AC" w:rsidP="00CE02AC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Provide structured career guidance and employability development </w:t>
      </w:r>
      <w:proofErr w:type="spellStart"/>
      <w:r w:rsidRPr="009E3A3D">
        <w:rPr>
          <w:rFonts w:asciiTheme="majorBidi" w:hAnsiTheme="majorBidi" w:cstheme="majorBidi"/>
        </w:rPr>
        <w:t>programmes</w:t>
      </w:r>
      <w:proofErr w:type="spellEnd"/>
    </w:p>
    <w:p w:rsidR="00CE02AC" w:rsidRPr="009E3A3D" w:rsidRDefault="00CE02AC" w:rsidP="00CE02AC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Engage alumni in academic, mentoring, and industry initiatives</w:t>
      </w:r>
    </w:p>
    <w:p w:rsidR="00CE02AC" w:rsidRPr="009E3A3D" w:rsidRDefault="00CE02AC" w:rsidP="00CE02AC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Maintain robust communication channels with alumni and employers</w:t>
      </w:r>
    </w:p>
    <w:p w:rsidR="00CE02AC" w:rsidRPr="009E3A3D" w:rsidRDefault="00CE02AC" w:rsidP="00CE02AC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Use alumni feedback to improve curricula, teaching, and student services</w:t>
      </w:r>
    </w:p>
    <w:p w:rsidR="00CE02AC" w:rsidRPr="009E3A3D" w:rsidRDefault="00CE02AC" w:rsidP="00CE02AC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Support graduates’ transition from university to employment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3. Objectives</w:t>
      </w:r>
    </w:p>
    <w:p w:rsidR="00CE02AC" w:rsidRPr="009E3A3D" w:rsidRDefault="00CE02AC" w:rsidP="00CE02AC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develop and sustain an active alumni network that supports institutional growth.</w:t>
      </w:r>
    </w:p>
    <w:p w:rsidR="00CE02AC" w:rsidRPr="009E3A3D" w:rsidRDefault="00CE02AC" w:rsidP="00CE02AC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To strengthen graduate employability through structured career guidance and skills development.</w:t>
      </w:r>
    </w:p>
    <w:p w:rsidR="00CE02AC" w:rsidRPr="009E3A3D" w:rsidRDefault="00CE02AC" w:rsidP="00CE02AC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build strong industry partnerships that support placements and internships.</w:t>
      </w:r>
    </w:p>
    <w:p w:rsidR="00CE02AC" w:rsidRPr="009E3A3D" w:rsidRDefault="00CE02AC" w:rsidP="00CE02AC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create avenues for alumni participation in academic and community engagement.</w:t>
      </w:r>
    </w:p>
    <w:p w:rsidR="00CE02AC" w:rsidRPr="009E3A3D" w:rsidRDefault="00CE02AC" w:rsidP="00CE02AC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maintain a comprehensive alumni database and communication system.</w:t>
      </w:r>
    </w:p>
    <w:p w:rsidR="00CE02AC" w:rsidRPr="009E3A3D" w:rsidRDefault="00CE02AC" w:rsidP="00CE02AC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To collect and </w:t>
      </w:r>
      <w:proofErr w:type="spellStart"/>
      <w:r w:rsidRPr="009E3A3D">
        <w:rPr>
          <w:rFonts w:asciiTheme="majorBidi" w:hAnsiTheme="majorBidi" w:cstheme="majorBidi"/>
        </w:rPr>
        <w:t>analyse</w:t>
      </w:r>
      <w:proofErr w:type="spellEnd"/>
      <w:r w:rsidRPr="009E3A3D">
        <w:rPr>
          <w:rFonts w:asciiTheme="majorBidi" w:hAnsiTheme="majorBidi" w:cstheme="majorBidi"/>
        </w:rPr>
        <w:t xml:space="preserve"> graduate tracer study data for quality enhancement.</w:t>
      </w:r>
    </w:p>
    <w:p w:rsidR="00CE02AC" w:rsidRPr="009E3A3D" w:rsidRDefault="00CE02AC" w:rsidP="00CE02AC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promote lifelong learning and professional development opportunities for alumni.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4. Scope and Applicability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This policy applies to:</w:t>
      </w:r>
    </w:p>
    <w:p w:rsidR="00CE02AC" w:rsidRPr="009E3A3D" w:rsidRDefault="00CE02AC" w:rsidP="00CE02AC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current students and graduates</w:t>
      </w:r>
    </w:p>
    <w:p w:rsidR="00CE02AC" w:rsidRPr="009E3A3D" w:rsidRDefault="00CE02AC" w:rsidP="00CE02AC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All faculties, departments, and </w:t>
      </w:r>
      <w:proofErr w:type="spellStart"/>
      <w:r w:rsidRPr="009E3A3D">
        <w:rPr>
          <w:rFonts w:asciiTheme="majorBidi" w:hAnsiTheme="majorBidi" w:cstheme="majorBidi"/>
        </w:rPr>
        <w:t>programmes</w:t>
      </w:r>
      <w:proofErr w:type="spellEnd"/>
    </w:p>
    <w:p w:rsidR="00CE02AC" w:rsidRPr="009E3A3D" w:rsidRDefault="00CE02AC" w:rsidP="00CE02AC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Alumni associations and chapters</w:t>
      </w:r>
    </w:p>
    <w:p w:rsidR="00CE02AC" w:rsidRPr="009E3A3D" w:rsidRDefault="00CE02AC" w:rsidP="00CE02AC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Career guidance, internship, and placement units</w:t>
      </w:r>
    </w:p>
    <w:p w:rsidR="00CE02AC" w:rsidRPr="009E3A3D" w:rsidRDefault="00CE02AC" w:rsidP="00CE02AC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Staff coordinating alumni and employability activities</w:t>
      </w:r>
    </w:p>
    <w:p w:rsidR="00CE02AC" w:rsidRPr="009E3A3D" w:rsidRDefault="00CE02AC" w:rsidP="00CE02AC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Industry partners and employer networks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5. Guiding Principles</w:t>
      </w:r>
    </w:p>
    <w:p w:rsidR="00CE02AC" w:rsidRPr="009E3A3D" w:rsidRDefault="00CE02AC" w:rsidP="00CE02AC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Engagement</w:t>
      </w:r>
      <w:r w:rsidRPr="009E3A3D">
        <w:rPr>
          <w:rFonts w:asciiTheme="majorBidi" w:hAnsiTheme="majorBidi" w:cstheme="majorBidi"/>
        </w:rPr>
        <w:t xml:space="preserve"> — Alumni recognized as key institutional partners.</w:t>
      </w:r>
    </w:p>
    <w:p w:rsidR="00CE02AC" w:rsidRPr="009E3A3D" w:rsidRDefault="00CE02AC" w:rsidP="00CE02AC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Inclusivity</w:t>
      </w:r>
      <w:r w:rsidRPr="009E3A3D">
        <w:rPr>
          <w:rFonts w:asciiTheme="majorBidi" w:hAnsiTheme="majorBidi" w:cstheme="majorBidi"/>
        </w:rPr>
        <w:t xml:space="preserve"> — All graduates have equal access to engagement opportunities.</w:t>
      </w:r>
    </w:p>
    <w:p w:rsidR="00CE02AC" w:rsidRPr="009E3A3D" w:rsidRDefault="00CE02AC" w:rsidP="00CE02AC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Transparency</w:t>
      </w:r>
      <w:r w:rsidRPr="009E3A3D">
        <w:rPr>
          <w:rFonts w:asciiTheme="majorBidi" w:hAnsiTheme="majorBidi" w:cstheme="majorBidi"/>
        </w:rPr>
        <w:t xml:space="preserve"> — Open and ethical communication between alumni and institution.</w:t>
      </w:r>
    </w:p>
    <w:p w:rsidR="00CE02AC" w:rsidRPr="009E3A3D" w:rsidRDefault="00CE02AC" w:rsidP="00CE02AC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Mutual Benefit</w:t>
      </w:r>
      <w:r w:rsidRPr="009E3A3D">
        <w:rPr>
          <w:rFonts w:asciiTheme="majorBidi" w:hAnsiTheme="majorBidi" w:cstheme="majorBidi"/>
        </w:rPr>
        <w:t xml:space="preserve"> — Activities beneficial to alumni, students, and the university.</w:t>
      </w:r>
    </w:p>
    <w:p w:rsidR="00CE02AC" w:rsidRPr="009E3A3D" w:rsidRDefault="00CE02AC" w:rsidP="00CE02AC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Sustainability</w:t>
      </w:r>
      <w:r w:rsidRPr="009E3A3D">
        <w:rPr>
          <w:rFonts w:asciiTheme="majorBidi" w:hAnsiTheme="majorBidi" w:cstheme="majorBidi"/>
        </w:rPr>
        <w:t xml:space="preserve"> — Long-term strategies to maintain alumni relationships.</w:t>
      </w:r>
    </w:p>
    <w:p w:rsidR="00CE02AC" w:rsidRPr="009E3A3D" w:rsidRDefault="00CE02AC" w:rsidP="00CE02AC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Continuous Improvement</w:t>
      </w:r>
      <w:r w:rsidRPr="009E3A3D">
        <w:rPr>
          <w:rFonts w:asciiTheme="majorBidi" w:hAnsiTheme="majorBidi" w:cstheme="majorBidi"/>
        </w:rPr>
        <w:t xml:space="preserve"> — Using feedback to enhance </w:t>
      </w:r>
      <w:proofErr w:type="spellStart"/>
      <w:r w:rsidRPr="009E3A3D">
        <w:rPr>
          <w:rFonts w:asciiTheme="majorBidi" w:hAnsiTheme="majorBidi" w:cstheme="majorBidi"/>
        </w:rPr>
        <w:t>programmes</w:t>
      </w:r>
      <w:proofErr w:type="spellEnd"/>
      <w:r w:rsidRPr="009E3A3D">
        <w:rPr>
          <w:rFonts w:asciiTheme="majorBidi" w:hAnsiTheme="majorBidi" w:cstheme="majorBidi"/>
        </w:rPr>
        <w:t xml:space="preserve"> and services.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 Alumni Relations Framework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6.1 Alumni Association</w:t>
      </w:r>
    </w:p>
    <w:p w:rsidR="00CE02AC" w:rsidRPr="009E3A3D" w:rsidRDefault="00CE02AC" w:rsidP="00CE02AC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The University Division shall support the establishment of an Alumni Association.</w:t>
      </w:r>
    </w:p>
    <w:p w:rsidR="00CE02AC" w:rsidRPr="009E3A3D" w:rsidRDefault="00CE02AC" w:rsidP="00CE02AC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The Association will function with a constitution, elected officials, and activity plans.</w:t>
      </w:r>
    </w:p>
    <w:p w:rsidR="00CE02AC" w:rsidRPr="009E3A3D" w:rsidRDefault="00CE02AC" w:rsidP="00CE02AC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Alumni Chapters (local/international) may be formed.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6.2 Alumni Database</w:t>
      </w:r>
    </w:p>
    <w:p w:rsidR="00CE02AC" w:rsidRPr="009E3A3D" w:rsidRDefault="00CE02AC" w:rsidP="00CE02AC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 central digital alumni directory maintained by Student Affairs Division.</w:t>
      </w:r>
    </w:p>
    <w:p w:rsidR="00CE02AC" w:rsidRPr="009E3A3D" w:rsidRDefault="00CE02AC" w:rsidP="00CE02AC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Information collected during graduation and updated periodically.</w:t>
      </w:r>
    </w:p>
    <w:p w:rsidR="00CE02AC" w:rsidRPr="009E3A3D" w:rsidRDefault="00CE02AC" w:rsidP="00CE02AC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Strict protection under Data Management and Confidentiality Policy.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lastRenderedPageBreak/>
        <w:t>6.3 Alumni Engagement Activities</w:t>
      </w:r>
    </w:p>
    <w:p w:rsidR="00CE02AC" w:rsidRPr="009E3A3D" w:rsidRDefault="00CE02AC" w:rsidP="00CE02AC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Annual Alumni Day / Reunion</w:t>
      </w:r>
    </w:p>
    <w:p w:rsidR="00CE02AC" w:rsidRPr="009E3A3D" w:rsidRDefault="00CE02AC" w:rsidP="00CE02AC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Guest lectures and webinars</w:t>
      </w:r>
    </w:p>
    <w:p w:rsidR="00CE02AC" w:rsidRPr="009E3A3D" w:rsidRDefault="00CE02AC" w:rsidP="00CE02AC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Mentorship </w:t>
      </w:r>
      <w:proofErr w:type="spellStart"/>
      <w:r w:rsidRPr="009E3A3D">
        <w:rPr>
          <w:rFonts w:asciiTheme="majorBidi" w:hAnsiTheme="majorBidi" w:cstheme="majorBidi"/>
        </w:rPr>
        <w:t>programmes</w:t>
      </w:r>
      <w:proofErr w:type="spellEnd"/>
    </w:p>
    <w:p w:rsidR="00CE02AC" w:rsidRPr="009E3A3D" w:rsidRDefault="00CE02AC" w:rsidP="00CE02AC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Industry networking events</w:t>
      </w:r>
    </w:p>
    <w:p w:rsidR="00CE02AC" w:rsidRPr="009E3A3D" w:rsidRDefault="00CE02AC" w:rsidP="00CE02AC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Alumni-student interaction forums</w:t>
      </w:r>
    </w:p>
    <w:p w:rsidR="00CE02AC" w:rsidRPr="009E3A3D" w:rsidRDefault="00CE02AC" w:rsidP="00CE02AC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Social and community outreach activities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6.4 Communication Channels</w:t>
      </w:r>
    </w:p>
    <w:p w:rsidR="00CE02AC" w:rsidRPr="009E3A3D" w:rsidRDefault="00CE02AC" w:rsidP="00CE02AC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Alumni newsletters</w:t>
      </w:r>
    </w:p>
    <w:p w:rsidR="00CE02AC" w:rsidRPr="009E3A3D" w:rsidRDefault="00CE02AC" w:rsidP="00CE02AC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Dedicated alumni portal</w:t>
      </w:r>
    </w:p>
    <w:p w:rsidR="00CE02AC" w:rsidRPr="009E3A3D" w:rsidRDefault="00CE02AC" w:rsidP="00CE02AC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Social media groups</w:t>
      </w:r>
    </w:p>
    <w:p w:rsidR="00CE02AC" w:rsidRPr="009E3A3D" w:rsidRDefault="00CE02AC" w:rsidP="00CE02AC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Email announcements and event invitations</w:t>
      </w:r>
    </w:p>
    <w:p w:rsidR="00CE02AC" w:rsidRPr="009E3A3D" w:rsidRDefault="00CE02AC" w:rsidP="00CE02AC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Institutional website updates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 Graduate Employability Framework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7.1 Career Guidance and Training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Career Guidance Unit (CGU) shall provide:</w:t>
      </w:r>
    </w:p>
    <w:p w:rsidR="00CE02AC" w:rsidRPr="009E3A3D" w:rsidRDefault="00CE02AC" w:rsidP="00CE02AC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CV writing and interview preparation</w:t>
      </w:r>
    </w:p>
    <w:p w:rsidR="00CE02AC" w:rsidRPr="009E3A3D" w:rsidRDefault="00CE02AC" w:rsidP="00CE02AC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Career counselling sessions</w:t>
      </w:r>
    </w:p>
    <w:p w:rsidR="00CE02AC" w:rsidRPr="009E3A3D" w:rsidRDefault="00CE02AC" w:rsidP="00CE02AC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Soft skills and professional skills workshops</w:t>
      </w:r>
    </w:p>
    <w:p w:rsidR="00CE02AC" w:rsidRPr="009E3A3D" w:rsidRDefault="00CE02AC" w:rsidP="00CE02AC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Networking opportunities</w:t>
      </w:r>
    </w:p>
    <w:p w:rsidR="00CE02AC" w:rsidRPr="009E3A3D" w:rsidRDefault="00CE02AC" w:rsidP="00CE02AC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Entrepreneurial training and startup guidance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7.2 Internships and Industry Placements</w:t>
      </w:r>
    </w:p>
    <w:p w:rsidR="00CE02AC" w:rsidRPr="009E3A3D" w:rsidRDefault="00CE02AC" w:rsidP="00CE02AC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Structured internship </w:t>
      </w:r>
      <w:proofErr w:type="spellStart"/>
      <w:r w:rsidRPr="009E3A3D">
        <w:rPr>
          <w:rFonts w:asciiTheme="majorBidi" w:hAnsiTheme="majorBidi" w:cstheme="majorBidi"/>
        </w:rPr>
        <w:t>programmes</w:t>
      </w:r>
      <w:proofErr w:type="spellEnd"/>
      <w:r w:rsidRPr="009E3A3D">
        <w:rPr>
          <w:rFonts w:asciiTheme="majorBidi" w:hAnsiTheme="majorBidi" w:cstheme="majorBidi"/>
        </w:rPr>
        <w:t xml:space="preserve"> coordinated with industry partners</w:t>
      </w:r>
    </w:p>
    <w:p w:rsidR="00CE02AC" w:rsidRPr="009E3A3D" w:rsidRDefault="00CE02AC" w:rsidP="00CE02AC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Mandatory or optional internships depending on </w:t>
      </w:r>
      <w:proofErr w:type="spellStart"/>
      <w:r w:rsidRPr="009E3A3D">
        <w:rPr>
          <w:rFonts w:asciiTheme="majorBidi" w:hAnsiTheme="majorBidi" w:cstheme="majorBidi"/>
        </w:rPr>
        <w:t>programme</w:t>
      </w:r>
      <w:proofErr w:type="spellEnd"/>
      <w:r w:rsidRPr="009E3A3D">
        <w:rPr>
          <w:rFonts w:asciiTheme="majorBidi" w:hAnsiTheme="majorBidi" w:cstheme="majorBidi"/>
        </w:rPr>
        <w:t xml:space="preserve"> requirements</w:t>
      </w:r>
    </w:p>
    <w:p w:rsidR="00CE02AC" w:rsidRPr="009E3A3D" w:rsidRDefault="00CE02AC" w:rsidP="00CE02AC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Internship evaluations integrated into </w:t>
      </w:r>
      <w:proofErr w:type="spellStart"/>
      <w:r w:rsidRPr="009E3A3D">
        <w:rPr>
          <w:rFonts w:asciiTheme="majorBidi" w:hAnsiTheme="majorBidi" w:cstheme="majorBidi"/>
        </w:rPr>
        <w:t>programme</w:t>
      </w:r>
      <w:proofErr w:type="spellEnd"/>
      <w:r w:rsidRPr="009E3A3D">
        <w:rPr>
          <w:rFonts w:asciiTheme="majorBidi" w:hAnsiTheme="majorBidi" w:cstheme="majorBidi"/>
        </w:rPr>
        <w:t xml:space="preserve"> review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7.3 Employer Engagement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Includes:</w:t>
      </w:r>
    </w:p>
    <w:p w:rsidR="00CE02AC" w:rsidRPr="009E3A3D" w:rsidRDefault="00CE02AC" w:rsidP="00CE02AC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Employer forums</w:t>
      </w:r>
    </w:p>
    <w:p w:rsidR="00CE02AC" w:rsidRPr="009E3A3D" w:rsidRDefault="00CE02AC" w:rsidP="00CE02AC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On-campus recruitment drives</w:t>
      </w:r>
    </w:p>
    <w:p w:rsidR="00CE02AC" w:rsidRPr="009E3A3D" w:rsidRDefault="00CE02AC" w:rsidP="00CE02AC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Memoranda of Understanding (MoUs) with industry partners</w:t>
      </w:r>
    </w:p>
    <w:p w:rsidR="00CE02AC" w:rsidRPr="009E3A3D" w:rsidRDefault="00CE02AC" w:rsidP="00CE02AC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Industry advisory boards for </w:t>
      </w:r>
      <w:proofErr w:type="spellStart"/>
      <w:r w:rsidRPr="009E3A3D">
        <w:rPr>
          <w:rFonts w:asciiTheme="majorBidi" w:hAnsiTheme="majorBidi" w:cstheme="majorBidi"/>
        </w:rPr>
        <w:t>programme</w:t>
      </w:r>
      <w:proofErr w:type="spellEnd"/>
      <w:r w:rsidRPr="009E3A3D">
        <w:rPr>
          <w:rFonts w:asciiTheme="majorBidi" w:hAnsiTheme="majorBidi" w:cstheme="majorBidi"/>
        </w:rPr>
        <w:t xml:space="preserve"> review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7.4 Graduate Tracer Studies</w:t>
      </w:r>
    </w:p>
    <w:p w:rsidR="00CE02AC" w:rsidRPr="009E3A3D" w:rsidRDefault="00CE02AC" w:rsidP="00CE02AC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Conducted annually to measure employment outcomes</w:t>
      </w:r>
    </w:p>
    <w:p w:rsidR="00CE02AC" w:rsidRPr="009E3A3D" w:rsidRDefault="00CE02AC" w:rsidP="00CE02AC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Includes data on employment type, job relevance, salary levels, and progression</w:t>
      </w:r>
    </w:p>
    <w:p w:rsidR="00CE02AC" w:rsidRPr="009E3A3D" w:rsidRDefault="00CE02AC" w:rsidP="00CE02AC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Results </w:t>
      </w:r>
      <w:proofErr w:type="spellStart"/>
      <w:r w:rsidRPr="009E3A3D">
        <w:rPr>
          <w:rFonts w:asciiTheme="majorBidi" w:hAnsiTheme="majorBidi" w:cstheme="majorBidi"/>
        </w:rPr>
        <w:t>analysed</w:t>
      </w:r>
      <w:proofErr w:type="spellEnd"/>
      <w:r w:rsidRPr="009E3A3D">
        <w:rPr>
          <w:rFonts w:asciiTheme="majorBidi" w:hAnsiTheme="majorBidi" w:cstheme="majorBidi"/>
        </w:rPr>
        <w:t xml:space="preserve"> by IQAC and used to enhance curricula and teaching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 Alumni Contributions to the Institution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Alumni may contribute through:</w:t>
      </w:r>
    </w:p>
    <w:p w:rsidR="00CE02AC" w:rsidRPr="009E3A3D" w:rsidRDefault="00CE02AC" w:rsidP="00CE02AC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Mentoring current students</w:t>
      </w:r>
    </w:p>
    <w:p w:rsidR="00CE02AC" w:rsidRPr="009E3A3D" w:rsidRDefault="00CE02AC" w:rsidP="00CE02AC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Delivering guest lectures and workshops</w:t>
      </w:r>
    </w:p>
    <w:p w:rsidR="00CE02AC" w:rsidRPr="009E3A3D" w:rsidRDefault="00CE02AC" w:rsidP="00CE02AC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Participating in career fairs</w:t>
      </w:r>
    </w:p>
    <w:p w:rsidR="00CE02AC" w:rsidRPr="009E3A3D" w:rsidRDefault="00CE02AC" w:rsidP="00CE02AC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Supporting research, internships, and placements</w:t>
      </w:r>
    </w:p>
    <w:p w:rsidR="00CE02AC" w:rsidRPr="009E3A3D" w:rsidRDefault="00CE02AC" w:rsidP="00CE02AC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Donating learning resources, scholarships, or funds</w:t>
      </w:r>
    </w:p>
    <w:p w:rsidR="00CE02AC" w:rsidRPr="009E3A3D" w:rsidRDefault="00CE02AC" w:rsidP="00CE02AC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Serving on industry advisory boards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Alumni participation is voluntary and recognized formally where appropriate.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 Governance and Coordination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9.1 Alumni Affairs and Employability Committee (AAEC)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Responsible for:</w:t>
      </w:r>
    </w:p>
    <w:p w:rsidR="00CE02AC" w:rsidRPr="009E3A3D" w:rsidRDefault="00CE02AC" w:rsidP="00CE02AC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Overall coordination of alumni and employability initiatives</w:t>
      </w:r>
    </w:p>
    <w:p w:rsidR="00CE02AC" w:rsidRPr="009E3A3D" w:rsidRDefault="00CE02AC" w:rsidP="00CE02AC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Liaising with departments and external partners</w:t>
      </w:r>
    </w:p>
    <w:p w:rsidR="00CE02AC" w:rsidRPr="009E3A3D" w:rsidRDefault="00CE02AC" w:rsidP="00CE02AC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Approving annual activity plans</w:t>
      </w:r>
    </w:p>
    <w:p w:rsidR="00CE02AC" w:rsidRPr="009E3A3D" w:rsidRDefault="00CE02AC" w:rsidP="00CE02AC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Monitoring performance indicators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9.2 Career Guidance Unit (CGU)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Responsible for:</w:t>
      </w:r>
    </w:p>
    <w:p w:rsidR="00CE02AC" w:rsidRPr="009E3A3D" w:rsidRDefault="00CE02AC" w:rsidP="00CE02AC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Career counselling</w:t>
      </w:r>
    </w:p>
    <w:p w:rsidR="00CE02AC" w:rsidRPr="009E3A3D" w:rsidRDefault="00CE02AC" w:rsidP="00CE02AC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Training workshops</w:t>
      </w:r>
    </w:p>
    <w:p w:rsidR="00CE02AC" w:rsidRPr="009E3A3D" w:rsidRDefault="00CE02AC" w:rsidP="00CE02AC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Employer networking</w:t>
      </w:r>
    </w:p>
    <w:p w:rsidR="00CE02AC" w:rsidRPr="009E3A3D" w:rsidRDefault="00CE02AC" w:rsidP="00CE02AC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Maintaining employability statistics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9.3 Faculties and Departments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Responsible for:</w:t>
      </w:r>
    </w:p>
    <w:p w:rsidR="00CE02AC" w:rsidRPr="009E3A3D" w:rsidRDefault="00CE02AC" w:rsidP="00CE02AC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Maintaining </w:t>
      </w:r>
      <w:proofErr w:type="spellStart"/>
      <w:r w:rsidRPr="009E3A3D">
        <w:rPr>
          <w:rFonts w:asciiTheme="majorBidi" w:hAnsiTheme="majorBidi" w:cstheme="majorBidi"/>
        </w:rPr>
        <w:t>programme</w:t>
      </w:r>
      <w:proofErr w:type="spellEnd"/>
      <w:r w:rsidRPr="009E3A3D">
        <w:rPr>
          <w:rFonts w:asciiTheme="majorBidi" w:hAnsiTheme="majorBidi" w:cstheme="majorBidi"/>
        </w:rPr>
        <w:t>-level alumni lists</w:t>
      </w:r>
    </w:p>
    <w:p w:rsidR="00CE02AC" w:rsidRPr="009E3A3D" w:rsidRDefault="00CE02AC" w:rsidP="00CE02AC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Engaging alumni in curriculum development</w:t>
      </w:r>
    </w:p>
    <w:p w:rsidR="00CE02AC" w:rsidRPr="009E3A3D" w:rsidRDefault="00CE02AC" w:rsidP="00CE02AC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Facilitating industry-linked projects and internships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10. Monitoring, Evaluation, and Quality Assurance</w:t>
      </w:r>
    </w:p>
    <w:p w:rsidR="00CE02AC" w:rsidRPr="009E3A3D" w:rsidRDefault="00CE02AC" w:rsidP="00CE02AC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Annual alumni and employability reports submitted to IQAC and Senate</w:t>
      </w:r>
    </w:p>
    <w:p w:rsidR="00CE02AC" w:rsidRPr="009E3A3D" w:rsidRDefault="00CE02AC" w:rsidP="00CE02AC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 xml:space="preserve">Alumni feedback integrated into </w:t>
      </w:r>
      <w:proofErr w:type="spellStart"/>
      <w:r w:rsidRPr="009E3A3D">
        <w:rPr>
          <w:rFonts w:asciiTheme="majorBidi" w:hAnsiTheme="majorBidi" w:cstheme="majorBidi"/>
        </w:rPr>
        <w:t>programme</w:t>
      </w:r>
      <w:proofErr w:type="spellEnd"/>
      <w:r w:rsidRPr="009E3A3D">
        <w:rPr>
          <w:rFonts w:asciiTheme="majorBidi" w:hAnsiTheme="majorBidi" w:cstheme="majorBidi"/>
        </w:rPr>
        <w:t xml:space="preserve"> review and curriculum development</w:t>
      </w:r>
    </w:p>
    <w:p w:rsidR="00CE02AC" w:rsidRPr="009E3A3D" w:rsidRDefault="00CE02AC" w:rsidP="00CE02AC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KPIs tracked:</w:t>
      </w:r>
    </w:p>
    <w:p w:rsidR="00CE02AC" w:rsidRPr="009E3A3D" w:rsidRDefault="00CE02AC" w:rsidP="00CE02AC">
      <w:pPr>
        <w:numPr>
          <w:ilvl w:val="1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Employment rate within 12 months</w:t>
      </w:r>
    </w:p>
    <w:p w:rsidR="00CE02AC" w:rsidRPr="009E3A3D" w:rsidRDefault="00CE02AC" w:rsidP="00CE02AC">
      <w:pPr>
        <w:numPr>
          <w:ilvl w:val="1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Number of internships and placements</w:t>
      </w:r>
    </w:p>
    <w:p w:rsidR="00CE02AC" w:rsidRPr="009E3A3D" w:rsidRDefault="00CE02AC" w:rsidP="00CE02AC">
      <w:pPr>
        <w:numPr>
          <w:ilvl w:val="1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Number of alumni engagements</w:t>
      </w:r>
    </w:p>
    <w:p w:rsidR="00CE02AC" w:rsidRPr="009E3A3D" w:rsidRDefault="00CE02AC" w:rsidP="00CE02AC">
      <w:pPr>
        <w:numPr>
          <w:ilvl w:val="1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Employer satisfaction levels</w:t>
      </w:r>
    </w:p>
    <w:p w:rsidR="00CE02AC" w:rsidRPr="009E3A3D" w:rsidRDefault="00CE02AC" w:rsidP="00CE02AC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Internal audits conducted on alumni data and employability processes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11.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5546"/>
      </w:tblGrid>
      <w:tr w:rsidR="00CE02AC" w:rsidRPr="009E3A3D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CE02AC" w:rsidRPr="009E3A3D" w:rsidTr="00D55684"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Oversees alumni engagement &amp; employability strategy.</w:t>
            </w:r>
          </w:p>
        </w:tc>
      </w:tr>
      <w:tr w:rsidR="00CE02AC" w:rsidRPr="009E3A3D" w:rsidTr="00D55684"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Ensures academic alignment with industry needs.</w:t>
            </w:r>
          </w:p>
        </w:tc>
      </w:tr>
      <w:tr w:rsidR="00CE02AC" w:rsidRPr="009E3A3D" w:rsidTr="00D55684"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Monitors employability indicators and tracer studies.</w:t>
            </w:r>
          </w:p>
        </w:tc>
      </w:tr>
      <w:tr w:rsidR="00CE02AC" w:rsidRPr="009E3A3D" w:rsidTr="00D55684"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AAEC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Coordinates alumni and employability activities.</w:t>
            </w:r>
          </w:p>
        </w:tc>
      </w:tr>
      <w:tr w:rsidR="00CE02AC" w:rsidRPr="009E3A3D" w:rsidTr="00D55684"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CGU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Provides career support and industry engagement.</w:t>
            </w:r>
          </w:p>
        </w:tc>
      </w:tr>
      <w:tr w:rsidR="00CE02AC" w:rsidRPr="009E3A3D" w:rsidTr="00D55684"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Engage alumni in faculty-level activities.</w:t>
            </w:r>
          </w:p>
        </w:tc>
      </w:tr>
      <w:tr w:rsidR="00CE02AC" w:rsidRPr="009E3A3D" w:rsidTr="00D55684"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Alumni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Contribute voluntarily to institutional development.</w:t>
            </w:r>
          </w:p>
        </w:tc>
      </w:tr>
      <w:tr w:rsidR="00CE02AC" w:rsidRPr="009E3A3D" w:rsidTr="00D55684"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0" w:type="auto"/>
            <w:hideMark/>
          </w:tcPr>
          <w:p w:rsidR="00CE02AC" w:rsidRPr="009E3A3D" w:rsidRDefault="00CE02AC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 xml:space="preserve">Participate actively in employability </w:t>
            </w:r>
            <w:proofErr w:type="spellStart"/>
            <w:r w:rsidRPr="009E3A3D">
              <w:rPr>
                <w:rFonts w:asciiTheme="majorBidi" w:hAnsiTheme="majorBidi" w:cstheme="majorBidi"/>
              </w:rPr>
              <w:t>programmes</w:t>
            </w:r>
            <w:proofErr w:type="spellEnd"/>
            <w:r w:rsidRPr="009E3A3D">
              <w:rPr>
                <w:rFonts w:asciiTheme="majorBidi" w:hAnsiTheme="majorBidi" w:cstheme="majorBidi"/>
              </w:rPr>
              <w:t>.</w:t>
            </w:r>
          </w:p>
        </w:tc>
      </w:tr>
    </w:tbl>
    <w:p w:rsidR="00CE02AC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12. Review and Amendment</w:t>
      </w:r>
    </w:p>
    <w:p w:rsidR="00CE02AC" w:rsidRPr="009E3A3D" w:rsidRDefault="00CE02AC" w:rsidP="00CE02AC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Policy reviewed every </w:t>
      </w:r>
      <w:r w:rsidRPr="009E3A3D">
        <w:rPr>
          <w:rFonts w:asciiTheme="majorBidi" w:hAnsiTheme="majorBidi" w:cstheme="majorBidi"/>
          <w:b/>
          <w:bCs/>
        </w:rPr>
        <w:t>three (3) years</w:t>
      </w:r>
      <w:r w:rsidRPr="009E3A3D">
        <w:rPr>
          <w:rFonts w:asciiTheme="majorBidi" w:hAnsiTheme="majorBidi" w:cstheme="majorBidi"/>
        </w:rPr>
        <w:t xml:space="preserve"> or earlier if needed.</w:t>
      </w:r>
    </w:p>
    <w:p w:rsidR="00CE02AC" w:rsidRPr="009E3A3D" w:rsidRDefault="00CE02AC" w:rsidP="00CE02AC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Amendments: AAEC → IQAC → Senate → Governing Board.</w:t>
      </w:r>
    </w:p>
    <w:p w:rsidR="00CE02AC" w:rsidRPr="009E3A3D" w:rsidRDefault="00CE02AC" w:rsidP="00CE02AC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Updates recorded in the </w:t>
      </w:r>
      <w:r w:rsidRPr="009E3A3D">
        <w:rPr>
          <w:rFonts w:asciiTheme="majorBidi" w:hAnsiTheme="majorBidi" w:cstheme="majorBidi"/>
          <w:b/>
          <w:bCs/>
        </w:rPr>
        <w:t>Policy Version Register</w:t>
      </w:r>
      <w:r w:rsidRPr="009E3A3D">
        <w:rPr>
          <w:rFonts w:asciiTheme="majorBidi" w:hAnsiTheme="majorBidi" w:cstheme="majorBidi"/>
        </w:rPr>
        <w:t>.</w:t>
      </w: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E02AC" w:rsidRPr="009E3A3D" w:rsidRDefault="00CE02AC" w:rsidP="00CE02AC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13. Related Documents</w:t>
      </w:r>
    </w:p>
    <w:p w:rsidR="00CE02AC" w:rsidRPr="009E3A3D" w:rsidRDefault="00CE02AC" w:rsidP="00CE02AC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Admission and Attendance Policy</w:t>
      </w:r>
    </w:p>
    <w:p w:rsidR="00CE02AC" w:rsidRPr="009E3A3D" w:rsidRDefault="00CE02AC" w:rsidP="00CE02AC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Equal Opportunity &amp; Inclusion Policy</w:t>
      </w:r>
    </w:p>
    <w:p w:rsidR="00CE02AC" w:rsidRPr="009E3A3D" w:rsidRDefault="00CE02AC" w:rsidP="00CE02AC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Curriculum Development and Review Policy</w:t>
      </w:r>
    </w:p>
    <w:p w:rsidR="00CE02AC" w:rsidRPr="009E3A3D" w:rsidRDefault="00CE02AC" w:rsidP="00CE02AC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Industry Partnership and Internship Policy</w:t>
      </w:r>
    </w:p>
    <w:p w:rsidR="00CE02AC" w:rsidRPr="009E3A3D" w:rsidRDefault="00CE02AC" w:rsidP="00CE02AC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Data Management and Confidentiality Policy</w:t>
      </w:r>
    </w:p>
    <w:p w:rsidR="00CE02AC" w:rsidRDefault="00CE02AC" w:rsidP="00CE02AC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QAAC Graduate Employability Guidelines</w:t>
      </w:r>
    </w:p>
    <w:p w:rsidR="00AC76E0" w:rsidRPr="00CE02AC" w:rsidRDefault="00CE02AC" w:rsidP="00CE02AC"/>
    <w:sectPr w:rsidR="00AC76E0" w:rsidRPr="00CE0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3DFF"/>
    <w:multiLevelType w:val="multilevel"/>
    <w:tmpl w:val="41DA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F2F14"/>
    <w:multiLevelType w:val="multilevel"/>
    <w:tmpl w:val="B0D6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93CB1"/>
    <w:multiLevelType w:val="multilevel"/>
    <w:tmpl w:val="0406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10D7B"/>
    <w:multiLevelType w:val="multilevel"/>
    <w:tmpl w:val="A4E8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32193"/>
    <w:multiLevelType w:val="multilevel"/>
    <w:tmpl w:val="5422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71A01"/>
    <w:multiLevelType w:val="multilevel"/>
    <w:tmpl w:val="A44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90E06"/>
    <w:multiLevelType w:val="multilevel"/>
    <w:tmpl w:val="4632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678B"/>
    <w:multiLevelType w:val="multilevel"/>
    <w:tmpl w:val="2B4A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27007"/>
    <w:multiLevelType w:val="multilevel"/>
    <w:tmpl w:val="2F3A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14776"/>
    <w:multiLevelType w:val="multilevel"/>
    <w:tmpl w:val="954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7362C"/>
    <w:multiLevelType w:val="multilevel"/>
    <w:tmpl w:val="DFDA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364FF"/>
    <w:multiLevelType w:val="multilevel"/>
    <w:tmpl w:val="950E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91BF1"/>
    <w:multiLevelType w:val="multilevel"/>
    <w:tmpl w:val="2872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36C72"/>
    <w:multiLevelType w:val="multilevel"/>
    <w:tmpl w:val="4E08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02A83"/>
    <w:multiLevelType w:val="multilevel"/>
    <w:tmpl w:val="360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640B96"/>
    <w:multiLevelType w:val="multilevel"/>
    <w:tmpl w:val="3956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F102E"/>
    <w:multiLevelType w:val="multilevel"/>
    <w:tmpl w:val="D96E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C04996"/>
    <w:multiLevelType w:val="multilevel"/>
    <w:tmpl w:val="9A00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612DAC"/>
    <w:multiLevelType w:val="multilevel"/>
    <w:tmpl w:val="9E54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3100D"/>
    <w:multiLevelType w:val="multilevel"/>
    <w:tmpl w:val="DE12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4"/>
  </w:num>
  <w:num w:numId="5">
    <w:abstractNumId w:val="7"/>
  </w:num>
  <w:num w:numId="6">
    <w:abstractNumId w:val="2"/>
  </w:num>
  <w:num w:numId="7">
    <w:abstractNumId w:val="9"/>
  </w:num>
  <w:num w:numId="8">
    <w:abstractNumId w:val="16"/>
  </w:num>
  <w:num w:numId="9">
    <w:abstractNumId w:val="10"/>
  </w:num>
  <w:num w:numId="10">
    <w:abstractNumId w:val="1"/>
  </w:num>
  <w:num w:numId="11">
    <w:abstractNumId w:val="12"/>
  </w:num>
  <w:num w:numId="12">
    <w:abstractNumId w:val="0"/>
  </w:num>
  <w:num w:numId="13">
    <w:abstractNumId w:val="19"/>
  </w:num>
  <w:num w:numId="14">
    <w:abstractNumId w:val="15"/>
  </w:num>
  <w:num w:numId="15">
    <w:abstractNumId w:val="6"/>
  </w:num>
  <w:num w:numId="16">
    <w:abstractNumId w:val="5"/>
  </w:num>
  <w:num w:numId="17">
    <w:abstractNumId w:val="13"/>
  </w:num>
  <w:num w:numId="18">
    <w:abstractNumId w:val="3"/>
  </w:num>
  <w:num w:numId="19">
    <w:abstractNumId w:val="8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357022"/>
    <w:rsid w:val="003712F0"/>
    <w:rsid w:val="004B7DAD"/>
    <w:rsid w:val="005614C5"/>
    <w:rsid w:val="009A517E"/>
    <w:rsid w:val="00A60B81"/>
    <w:rsid w:val="00B92D1D"/>
    <w:rsid w:val="00BB65C7"/>
    <w:rsid w:val="00C72E47"/>
    <w:rsid w:val="00CE02AC"/>
    <w:rsid w:val="00D168DA"/>
    <w:rsid w:val="00DF6516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2025-12-15T10:33:00Z</dcterms:created>
  <dcterms:modified xsi:type="dcterms:W3CDTF">2025-12-15T10:33:00Z</dcterms:modified>
</cp:coreProperties>
</file>